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ind w:firstLine="640"/>
      </w:pPr>
    </w:p>
    <w:p>
      <w:pPr>
        <w:ind w:firstLine="640"/>
      </w:pPr>
    </w:p>
    <w:p>
      <w:pPr>
        <w:pStyle w:val="45"/>
      </w:pPr>
      <w:r>
        <w:rPr>
          <w:rFonts w:hint="eastAsia"/>
        </w:rPr>
        <w:t>重庆市科学技术局</w:t>
      </w:r>
    </w:p>
    <w:p>
      <w:pPr>
        <w:pStyle w:val="45"/>
      </w:pPr>
      <w:r>
        <w:rPr>
          <w:rFonts w:hint="eastAsia"/>
        </w:rPr>
        <w:t>关于印发《重庆市科技特派员管理办法》的</w:t>
      </w:r>
    </w:p>
    <w:p>
      <w:pPr>
        <w:pStyle w:val="45"/>
        <w:rPr>
          <w:rFonts w:hint="eastAsia"/>
        </w:rPr>
      </w:pPr>
      <w:r>
        <w:rPr>
          <w:rFonts w:hint="eastAsia"/>
        </w:rPr>
        <w:t>通知</w:t>
      </w:r>
    </w:p>
    <w:p>
      <w:pPr>
        <w:pStyle w:val="46"/>
        <w:rPr>
          <w:szCs w:val="32"/>
        </w:rPr>
      </w:pPr>
      <w:r>
        <w:t>渝科局发〔201</w:t>
      </w:r>
      <w:r>
        <w:rPr>
          <w:rFonts w:hint="eastAsia"/>
          <w:lang w:val="en-US" w:eastAsia="zh-CN"/>
        </w:rPr>
        <w:t>9</w:t>
      </w:r>
      <w:r>
        <w:t>〕</w:t>
      </w:r>
      <w:r>
        <w:rPr>
          <w:rFonts w:hint="eastAsia"/>
          <w:lang w:val="en-US" w:eastAsia="zh-CN"/>
        </w:rPr>
        <w:t>146</w:t>
      </w:r>
      <w:bookmarkStart w:id="3" w:name="_GoBack"/>
      <w:bookmarkEnd w:id="3"/>
      <w:r>
        <w:t>号</w:t>
      </w:r>
    </w:p>
    <w:p>
      <w:pPr>
        <w:ind w:firstLine="640"/>
      </w:pPr>
    </w:p>
    <w:p>
      <w:pPr>
        <w:pStyle w:val="52"/>
      </w:pPr>
      <w:r>
        <w:rPr>
          <w:rFonts w:hint="eastAsia"/>
        </w:rPr>
        <w:t>各区县（自治县）科技局、有关单位：</w:t>
      </w:r>
    </w:p>
    <w:p>
      <w:pPr>
        <w:ind w:firstLine="640"/>
      </w:pPr>
      <w:r>
        <w:rPr>
          <w:rFonts w:hint="eastAsia"/>
        </w:rPr>
        <w:t>为深入贯彻党的十九大精神，认真落实习近平总书记对科技特派员制度推行20周年的重要指示，进一步激励广大科技特派员深入农村开展科技创新创业与服务，助推脱贫攻坚和乡村振兴，根据《国务院办公厅关于深入推行科技特派员制度的若干意见》（国办发〔2016〕32号），结合工作实际，重庆市科学技术局制定了《重庆市科技特派员管理办法》，现印发给你们，请参照执行。</w:t>
      </w:r>
    </w:p>
    <w:p>
      <w:pPr>
        <w:ind w:firstLine="640"/>
      </w:pPr>
    </w:p>
    <w:p>
      <w:pPr>
        <w:ind w:firstLine="640"/>
      </w:pPr>
    </w:p>
    <w:p>
      <w:pPr>
        <w:pStyle w:val="36"/>
        <w:ind w:right="640"/>
      </w:pPr>
      <w:r>
        <w:rPr>
          <w:rFonts w:hint="eastAsia"/>
        </w:rPr>
        <w:t>重庆市科学技术局</w:t>
      </w:r>
    </w:p>
    <w:p>
      <w:pPr>
        <w:pStyle w:val="36"/>
        <w:ind w:right="640"/>
      </w:pPr>
      <w:r>
        <w:t>2019年11月</w:t>
      </w:r>
      <w:r>
        <w:rPr>
          <w:rFonts w:hint="eastAsia"/>
        </w:rPr>
        <w:t>11</w:t>
      </w:r>
      <w:r>
        <w:t>日</w:t>
      </w:r>
    </w:p>
    <w:p>
      <w:pPr>
        <w:widowControl/>
        <w:adjustRightInd/>
        <w:snapToGrid/>
        <w:spacing w:line="240" w:lineRule="auto"/>
        <w:ind w:firstLine="0" w:firstLineChars="0"/>
        <w:contextualSpacing w:val="0"/>
        <w:jc w:val="left"/>
      </w:pPr>
      <w:r>
        <w:br w:type="page"/>
      </w:r>
    </w:p>
    <w:p>
      <w:pPr>
        <w:pStyle w:val="45"/>
      </w:pPr>
      <w:r>
        <w:rPr>
          <w:rFonts w:hint="eastAsia"/>
        </w:rPr>
        <w:t>重庆市科技特派员管理办法</w:t>
      </w:r>
    </w:p>
    <w:p>
      <w:pPr>
        <w:ind w:firstLine="640"/>
      </w:pPr>
    </w:p>
    <w:p>
      <w:pPr>
        <w:pStyle w:val="51"/>
      </w:pPr>
      <w:r>
        <w:rPr>
          <w:rFonts w:hint="eastAsia"/>
        </w:rPr>
        <w:t>第一章  总  则</w:t>
      </w:r>
    </w:p>
    <w:p>
      <w:pPr>
        <w:ind w:firstLine="640"/>
        <w:rPr>
          <w:rFonts w:hint="eastAsia"/>
        </w:rPr>
      </w:pPr>
    </w:p>
    <w:p>
      <w:pPr>
        <w:ind w:firstLine="640"/>
      </w:pPr>
      <w:r>
        <w:rPr>
          <w:rFonts w:hint="eastAsia" w:eastAsia="方正黑体_GBK"/>
        </w:rPr>
        <w:t xml:space="preserve">第一条  </w:t>
      </w:r>
      <w:r>
        <w:rPr>
          <w:rFonts w:hint="eastAsia"/>
        </w:rPr>
        <w:t>为规范管理、优化服务，激励广大科技特派员深入农村开展科技创新创业与服务，助推脱贫攻坚和乡村振兴，根据《国务院办公厅关于深入推行科技特派员制度的若干意见》（国办发〔2016〕32号），结合科技特派员工作实际，制定本办法。</w:t>
      </w:r>
    </w:p>
    <w:p>
      <w:pPr>
        <w:ind w:firstLine="640"/>
      </w:pPr>
      <w:r>
        <w:rPr>
          <w:rFonts w:hint="eastAsia" w:eastAsia="方正黑体_GBK"/>
        </w:rPr>
        <w:t xml:space="preserve">第二条  </w:t>
      </w:r>
      <w:r>
        <w:rPr>
          <w:rFonts w:hint="eastAsia"/>
        </w:rPr>
        <w:t>本办法所称科技特派员是指市级科技行政主管部门（以下简称市科技局）按照规定程序，从市内外高等院校、科研院所、科技型企业等单位（以下统称派出单位）选派到农村基层一线，面向乡镇、村社（合作社）、园区、企业、家庭农场（大户）（以下统称服务对象），开展科技创新创业、科技成果转化、科技专题培训、技术示范与咨询服务的科技人员。</w:t>
      </w:r>
    </w:p>
    <w:p>
      <w:pPr>
        <w:ind w:firstLine="640"/>
      </w:pPr>
      <w:r>
        <w:rPr>
          <w:rFonts w:hint="eastAsia" w:eastAsia="方正黑体_GBK"/>
        </w:rPr>
        <w:t xml:space="preserve">第三条  </w:t>
      </w:r>
      <w:r>
        <w:rPr>
          <w:rFonts w:hint="eastAsia"/>
        </w:rPr>
        <w:t>本办法适用于科技特派员的选派、考核和日常管理，以及科技特派员专项经费的使用管理。</w:t>
      </w:r>
    </w:p>
    <w:p>
      <w:pPr>
        <w:ind w:firstLine="640"/>
      </w:pPr>
    </w:p>
    <w:p>
      <w:pPr>
        <w:pStyle w:val="51"/>
      </w:pPr>
      <w:r>
        <w:rPr>
          <w:rFonts w:hint="eastAsia"/>
        </w:rPr>
        <w:t>第二章  工作职责</w:t>
      </w:r>
    </w:p>
    <w:p>
      <w:pPr>
        <w:ind w:firstLine="640"/>
        <w:rPr>
          <w:rFonts w:hint="eastAsia"/>
        </w:rPr>
      </w:pPr>
    </w:p>
    <w:p>
      <w:pPr>
        <w:ind w:firstLine="640"/>
      </w:pPr>
      <w:r>
        <w:rPr>
          <w:rFonts w:hint="eastAsia" w:eastAsia="方正黑体_GBK"/>
        </w:rPr>
        <w:t xml:space="preserve">第四条  </w:t>
      </w:r>
      <w:r>
        <w:rPr>
          <w:rFonts w:hint="eastAsia"/>
        </w:rPr>
        <w:t>科技特派员应当围绕区县优势特色产业发展和服务对象的科技需求，通过技术引进示范、现场科技服务、实用技术培训、电话咨询与网络会诊等方式，自觉履行帮扶协议，主动开展服务并做好记录。每年到服务对象开展科技服务的时间，原则上不得少于15天。</w:t>
      </w:r>
    </w:p>
    <w:p>
      <w:pPr>
        <w:ind w:firstLine="640"/>
      </w:pPr>
      <w:r>
        <w:rPr>
          <w:rFonts w:hint="eastAsia" w:eastAsia="方正黑体_GBK"/>
        </w:rPr>
        <w:t xml:space="preserve">第五条  </w:t>
      </w:r>
      <w:r>
        <w:rPr>
          <w:rFonts w:hint="eastAsia"/>
        </w:rPr>
        <w:t>市科技局主要负责提出激励科技特派员深入基层创新创业的政策措施，统筹开展科技特派员的选派、考核和表彰宣传等工作，安排落实科技特派员专项经费，指导区县科技特派员工作。</w:t>
      </w:r>
    </w:p>
    <w:p>
      <w:pPr>
        <w:ind w:firstLine="640"/>
      </w:pPr>
      <w:r>
        <w:rPr>
          <w:rFonts w:hint="eastAsia" w:eastAsia="方正黑体_GBK"/>
        </w:rPr>
        <w:t xml:space="preserve">第六条  </w:t>
      </w:r>
      <w:r>
        <w:rPr>
          <w:rFonts w:hint="eastAsia"/>
        </w:rPr>
        <w:t>各区县（自治县）科技行政主管部门（以下统称区县科技局）主要配合市科技局完成科技特派员的需求征集和选派、考核等工作，负责科技特派员的日常管理服务和专项经费的使用管理，协调组织科技特派员到一线开展科技服务，并为科技特派员开展服务提供工作保障。</w:t>
      </w:r>
    </w:p>
    <w:p>
      <w:pPr>
        <w:ind w:firstLine="640"/>
      </w:pPr>
      <w:r>
        <w:rPr>
          <w:rFonts w:hint="eastAsia" w:eastAsia="方正黑体_GBK"/>
        </w:rPr>
        <w:t xml:space="preserve">第七条  </w:t>
      </w:r>
      <w:r>
        <w:rPr>
          <w:rFonts w:hint="eastAsia"/>
        </w:rPr>
        <w:t>派出单位应当支持科技人员到农村基层开展创新创业与服务，协助市科技局做好科技特派员的选派、考核等工作，将科技特派员工作业绩纳入本单位科技人员考核体系和优先晋升职务职称政策，对于获得国家或市级表彰的科技特派员按规定给予相应奖励。</w:t>
      </w:r>
    </w:p>
    <w:p>
      <w:pPr>
        <w:ind w:firstLine="640"/>
      </w:pPr>
      <w:r>
        <w:rPr>
          <w:rFonts w:hint="eastAsia" w:eastAsia="方正黑体_GBK"/>
        </w:rPr>
        <w:t xml:space="preserve">第八条  </w:t>
      </w:r>
      <w:r>
        <w:rPr>
          <w:rFonts w:hint="eastAsia"/>
        </w:rPr>
        <w:t>服务对象应当明确对科技特派员的具体需求，配合区县科技局完成科技特派员的选派、评价等工作，为科技特派员提供必要的工作、生活条件。</w:t>
      </w:r>
    </w:p>
    <w:p>
      <w:pPr>
        <w:ind w:firstLine="640"/>
      </w:pPr>
      <w:r>
        <w:rPr>
          <w:rFonts w:hint="eastAsia" w:eastAsia="方正黑体_GBK"/>
        </w:rPr>
        <w:t xml:space="preserve">第九条  </w:t>
      </w:r>
      <w:r>
        <w:rPr>
          <w:rFonts w:hint="eastAsia"/>
        </w:rPr>
        <w:t>科技特派员协会受市科技局委托承担科技特派员服务的具体工作。主要负责宣传贯彻中央和地方鼓励支持科技特派员创新创业的政策文件，建设和运维重庆市科技特派员管理系统，承担科技特派员的注册审核、需求征集、选派考核、总结宣传等具体事务，协调配合区县科技特派员工作。</w:t>
      </w:r>
    </w:p>
    <w:p>
      <w:pPr>
        <w:ind w:firstLine="640"/>
      </w:pPr>
    </w:p>
    <w:p>
      <w:pPr>
        <w:pStyle w:val="51"/>
      </w:pPr>
      <w:r>
        <w:rPr>
          <w:rFonts w:hint="eastAsia"/>
        </w:rPr>
        <w:t>第三章  选派考核</w:t>
      </w:r>
    </w:p>
    <w:p>
      <w:pPr>
        <w:ind w:firstLine="640"/>
        <w:rPr>
          <w:rFonts w:hint="eastAsia"/>
        </w:rPr>
      </w:pPr>
    </w:p>
    <w:p>
      <w:pPr>
        <w:ind w:firstLine="640"/>
      </w:pPr>
      <w:r>
        <w:rPr>
          <w:rFonts w:hint="eastAsia" w:eastAsia="方正黑体_GBK"/>
        </w:rPr>
        <w:t xml:space="preserve">第十条  </w:t>
      </w:r>
      <w:r>
        <w:rPr>
          <w:rFonts w:hint="eastAsia"/>
        </w:rPr>
        <w:t>科技特派员应当符合下列条件：</w:t>
      </w:r>
    </w:p>
    <w:p>
      <w:pPr>
        <w:ind w:firstLine="640"/>
      </w:pPr>
      <w:r>
        <w:rPr>
          <w:rFonts w:hint="eastAsia"/>
        </w:rPr>
        <w:t>（一）坚定贯彻执行党的路线方针政策，自觉遵守国家法律法规及有关规章制度，为人正直，作风正派，廉洁奉公。</w:t>
      </w:r>
    </w:p>
    <w:p>
      <w:pPr>
        <w:ind w:firstLine="640"/>
      </w:pPr>
      <w:r>
        <w:rPr>
          <w:rFonts w:hint="eastAsia"/>
        </w:rPr>
        <w:t>（二）原则上具有中级以上专业技术职务和一定的基层工作经验，技术传授与人际沟通能力、组织协调与管理服务能力较强。</w:t>
      </w:r>
    </w:p>
    <w:p>
      <w:pPr>
        <w:ind w:firstLine="640"/>
      </w:pPr>
      <w:r>
        <w:rPr>
          <w:rFonts w:hint="eastAsia"/>
        </w:rPr>
        <w:t>（三）有事业心、公益心和责任感，自愿到农村从事科技创新创业与服务，帮扶农户增收、助推脱贫攻坚和乡村振兴。</w:t>
      </w:r>
    </w:p>
    <w:p>
      <w:pPr>
        <w:ind w:firstLine="640"/>
      </w:pPr>
      <w:r>
        <w:rPr>
          <w:rFonts w:hint="eastAsia"/>
        </w:rPr>
        <w:t>（四）身体健康，并且能够保证有足够的时间投入到科技特派员工作。</w:t>
      </w:r>
    </w:p>
    <w:p>
      <w:pPr>
        <w:ind w:firstLine="640"/>
      </w:pPr>
      <w:r>
        <w:rPr>
          <w:rFonts w:hint="eastAsia" w:eastAsia="方正黑体_GBK"/>
        </w:rPr>
        <w:t xml:space="preserve">第十一条  </w:t>
      </w:r>
      <w:r>
        <w:rPr>
          <w:rFonts w:hint="eastAsia"/>
        </w:rPr>
        <w:t>科技特派员按照下列程序进行选派：</w:t>
      </w:r>
    </w:p>
    <w:p>
      <w:pPr>
        <w:ind w:firstLine="640"/>
      </w:pPr>
      <w:r>
        <w:rPr>
          <w:rFonts w:hint="eastAsia"/>
        </w:rPr>
        <w:t>（一）征集需求。市科技局会同区县科技局征集服务对象对科技特派员的具体需求，并统筹确定各区县选派名额。</w:t>
      </w:r>
    </w:p>
    <w:p>
      <w:pPr>
        <w:ind w:firstLine="640"/>
      </w:pPr>
      <w:r>
        <w:rPr>
          <w:rFonts w:hint="eastAsia"/>
        </w:rPr>
        <w:t>（二）发布通知。市科技局公开发布科技特派员选派通知，明确相关具体要求。</w:t>
      </w:r>
    </w:p>
    <w:p>
      <w:pPr>
        <w:ind w:firstLine="640"/>
      </w:pPr>
      <w:r>
        <w:rPr>
          <w:rFonts w:hint="eastAsia"/>
        </w:rPr>
        <w:t>（三）自愿申报。符合条件的科技特派员，登录科技特派员管理系统，自主选择申报拟服务区县。首次登录的，应当先行注册。</w:t>
      </w:r>
    </w:p>
    <w:p>
      <w:pPr>
        <w:ind w:firstLine="640"/>
      </w:pPr>
      <w:r>
        <w:rPr>
          <w:rFonts w:hint="eastAsia"/>
        </w:rPr>
        <w:t>（四）区县推荐。区县科技局按照确定的选派名额，根据科技特派员在线申报情况和辖区内服务对象的具体需求，提出拟选派科技特派员名单，推荐到市科技局。同时，组织科技特派员与服务对象签订帮扶协议。</w:t>
      </w:r>
    </w:p>
    <w:p>
      <w:pPr>
        <w:ind w:firstLine="640"/>
      </w:pPr>
      <w:r>
        <w:rPr>
          <w:rFonts w:hint="eastAsia"/>
        </w:rPr>
        <w:t>（五）审核确认。市科技局审核确认科技特派员选派名单，公开发布并抄送区县科技局和派出单位。</w:t>
      </w:r>
    </w:p>
    <w:p>
      <w:pPr>
        <w:ind w:firstLine="640"/>
      </w:pPr>
      <w:r>
        <w:rPr>
          <w:rFonts w:hint="eastAsia" w:eastAsia="方正黑体_GBK"/>
        </w:rPr>
        <w:t xml:space="preserve">第十二条  </w:t>
      </w:r>
      <w:r>
        <w:rPr>
          <w:rFonts w:hint="eastAsia"/>
        </w:rPr>
        <w:t>科技特派员每年度考核1次。</w:t>
      </w:r>
    </w:p>
    <w:p>
      <w:pPr>
        <w:ind w:firstLine="640"/>
      </w:pPr>
      <w:r>
        <w:rPr>
          <w:rFonts w:hint="eastAsia"/>
        </w:rPr>
        <w:t>年度考核内容主要围绕帮扶协议明确的目标任务，以科技创新创业与服务绩效为重点，综合评估履职情况、服务效果等。</w:t>
      </w:r>
    </w:p>
    <w:p>
      <w:pPr>
        <w:ind w:firstLine="640"/>
      </w:pPr>
      <w:r>
        <w:rPr>
          <w:rFonts w:hint="eastAsia"/>
        </w:rPr>
        <w:t>年度考核结果分为优秀、合格、不合格三个等次。</w:t>
      </w:r>
    </w:p>
    <w:p>
      <w:pPr>
        <w:ind w:firstLine="640"/>
      </w:pPr>
      <w:r>
        <w:rPr>
          <w:rFonts w:hint="eastAsia"/>
        </w:rPr>
        <w:t>年度考核不合格的，翌年不再选派为科技特派员。</w:t>
      </w:r>
    </w:p>
    <w:p>
      <w:pPr>
        <w:ind w:firstLine="640"/>
      </w:pPr>
      <w:r>
        <w:rPr>
          <w:rFonts w:hint="eastAsia" w:eastAsia="方正黑体_GBK"/>
        </w:rPr>
        <w:t xml:space="preserve">第十三条  </w:t>
      </w:r>
      <w:r>
        <w:rPr>
          <w:rFonts w:hint="eastAsia"/>
        </w:rPr>
        <w:t>科技特派员年度考核按照下列程序进行：</w:t>
      </w:r>
    </w:p>
    <w:p>
      <w:pPr>
        <w:ind w:firstLine="640"/>
      </w:pPr>
      <w:r>
        <w:rPr>
          <w:rFonts w:hint="eastAsia"/>
        </w:rPr>
        <w:t>（一）发布通知。市科技局公开发布科技特派员考核通知，明确相关具体要求。</w:t>
      </w:r>
    </w:p>
    <w:p>
      <w:pPr>
        <w:ind w:firstLine="640"/>
      </w:pPr>
      <w:r>
        <w:rPr>
          <w:rFonts w:hint="eastAsia"/>
        </w:rPr>
        <w:t>（二）自我评价。科技特派员根据考核通知要求，完成自我评价，并将相关资料提交服务对象所在的区县科技局。</w:t>
      </w:r>
    </w:p>
    <w:p>
      <w:pPr>
        <w:ind w:firstLine="640"/>
      </w:pPr>
      <w:r>
        <w:rPr>
          <w:rFonts w:hint="eastAsia"/>
        </w:rPr>
        <w:t>（三）评议推荐。区县科技局在科技特派员自我评价的基础上，综合评估科技特派员履职情况、服务效果以及服务对象的意见建议等，形成科技特派员考核结果建议，推荐到市科技局。</w:t>
      </w:r>
    </w:p>
    <w:p>
      <w:pPr>
        <w:ind w:firstLine="640"/>
      </w:pPr>
      <w:r>
        <w:rPr>
          <w:rFonts w:hint="eastAsia"/>
        </w:rPr>
        <w:t>（四）审核确认。市科技局审核确认科技特派员考核结果，公开发布并抄送区县科技局和派出单位。</w:t>
      </w:r>
    </w:p>
    <w:p>
      <w:pPr>
        <w:ind w:firstLine="640"/>
      </w:pPr>
      <w:r>
        <w:rPr>
          <w:rFonts w:hint="eastAsia" w:eastAsia="方正黑体_GBK"/>
        </w:rPr>
        <w:t xml:space="preserve">第十四条  </w:t>
      </w:r>
      <w:r>
        <w:rPr>
          <w:rFonts w:hint="eastAsia"/>
        </w:rPr>
        <w:t>对作出突出贡献的优秀科技特派员及团队、科技特派员派出单位以及相关组织管理机构等，按照有关规定予以表彰。鼓励社会力量设奖对科技特派员进行表彰奖励。宣传科技特派员农村科技创业的典型事迹和奉献精神，组织开展科技特派员巡讲活动，激励更多的人员、企业和机构踊跃参与科技特派员农村科技创业。</w:t>
      </w:r>
    </w:p>
    <w:p>
      <w:pPr>
        <w:ind w:firstLine="640"/>
      </w:pPr>
    </w:p>
    <w:p>
      <w:pPr>
        <w:pStyle w:val="51"/>
      </w:pPr>
      <w:r>
        <w:rPr>
          <w:rFonts w:hint="eastAsia"/>
        </w:rPr>
        <w:t>第四章  支持措施</w:t>
      </w:r>
    </w:p>
    <w:p>
      <w:pPr>
        <w:ind w:firstLine="640"/>
        <w:rPr>
          <w:rFonts w:hint="eastAsia"/>
        </w:rPr>
      </w:pPr>
    </w:p>
    <w:p>
      <w:pPr>
        <w:ind w:firstLine="640"/>
        <w:rPr>
          <w:rFonts w:eastAsia="方正黑体_GBK"/>
        </w:rPr>
      </w:pPr>
      <w:r>
        <w:rPr>
          <w:rFonts w:hint="eastAsia" w:eastAsia="方正黑体_GBK"/>
        </w:rPr>
        <w:t xml:space="preserve">第十五条  </w:t>
      </w:r>
      <w:r>
        <w:rPr>
          <w:rFonts w:hint="eastAsia"/>
        </w:rPr>
        <w:t>市科技局利用市级科技发展资金设立科技特派员专项经费，用于科技特派员工作。</w:t>
      </w:r>
    </w:p>
    <w:p>
      <w:pPr>
        <w:ind w:firstLine="640"/>
      </w:pPr>
      <w:r>
        <w:rPr>
          <w:rFonts w:hint="eastAsia"/>
        </w:rPr>
        <w:t>科技特派员专项经费主要用于科技特派员开展科技创新创业与服务的工作补助、交通差旅费用、保险和培训费用，以及专家咨询费、资料费、科技示范、宣传报道等相关费用。</w:t>
      </w:r>
    </w:p>
    <w:p>
      <w:pPr>
        <w:ind w:firstLine="640"/>
      </w:pPr>
      <w:r>
        <w:rPr>
          <w:rFonts w:hint="eastAsia"/>
        </w:rPr>
        <w:t>区县科技局可以参照设立相应的专项经费。</w:t>
      </w:r>
    </w:p>
    <w:p>
      <w:pPr>
        <w:ind w:firstLine="640"/>
      </w:pPr>
      <w:r>
        <w:rPr>
          <w:rFonts w:hint="eastAsia" w:eastAsia="方正黑体_GBK"/>
        </w:rPr>
        <w:t xml:space="preserve">第十六条  </w:t>
      </w:r>
      <w:r>
        <w:rPr>
          <w:rFonts w:hint="eastAsia"/>
        </w:rPr>
        <w:t>市科技局根据各区县实际选派的科技特派员数量，按照每名科技特派员不低于2万元的标准，将专项经费核拨到区县科技局统一管理、使用。</w:t>
      </w:r>
    </w:p>
    <w:p>
      <w:pPr>
        <w:ind w:firstLine="640"/>
      </w:pPr>
      <w:r>
        <w:rPr>
          <w:rFonts w:hint="eastAsia" w:eastAsia="方正黑体_GBK"/>
        </w:rPr>
        <w:t xml:space="preserve">第十七条  </w:t>
      </w:r>
      <w:r>
        <w:rPr>
          <w:rFonts w:hint="eastAsia"/>
        </w:rPr>
        <w:t>区县科技局应当精简手续、规范使用专项经费，并结合实际明确专项经费使用内容及方式，单独核算、专款专用。结余经费，原渠道收回。</w:t>
      </w:r>
    </w:p>
    <w:p>
      <w:pPr>
        <w:ind w:firstLine="640"/>
      </w:pPr>
      <w:r>
        <w:rPr>
          <w:rFonts w:hint="eastAsia" w:eastAsia="方正黑体_GBK"/>
        </w:rPr>
        <w:t xml:space="preserve">第十八条  </w:t>
      </w:r>
      <w:r>
        <w:rPr>
          <w:rFonts w:hint="eastAsia"/>
        </w:rPr>
        <w:t>科技特派员的选派考核和专项经费的使用，应当接受相关部门的监督检查。</w:t>
      </w:r>
    </w:p>
    <w:p>
      <w:pPr>
        <w:ind w:firstLine="640"/>
      </w:pPr>
      <w:r>
        <w:rPr>
          <w:rFonts w:hint="eastAsia"/>
        </w:rPr>
        <w:t>存在不端与失信行为的，根据科研信用管理的相关规定进行处理。</w:t>
      </w:r>
    </w:p>
    <w:p>
      <w:pPr>
        <w:ind w:firstLine="640"/>
      </w:pPr>
      <w:r>
        <w:rPr>
          <w:rFonts w:hint="eastAsia"/>
        </w:rPr>
        <w:t>涉嫌违纪违法的，依法追究相应的纪律和法律责任。</w:t>
      </w:r>
    </w:p>
    <w:p>
      <w:pPr>
        <w:ind w:firstLine="640"/>
      </w:pPr>
    </w:p>
    <w:p>
      <w:pPr>
        <w:pStyle w:val="51"/>
      </w:pPr>
      <w:r>
        <w:rPr>
          <w:rFonts w:hint="eastAsia"/>
        </w:rPr>
        <w:t>第五章  附  则</w:t>
      </w:r>
    </w:p>
    <w:p>
      <w:pPr>
        <w:ind w:firstLine="640"/>
        <w:rPr>
          <w:rFonts w:hint="eastAsia"/>
        </w:rPr>
      </w:pPr>
    </w:p>
    <w:p>
      <w:pPr>
        <w:ind w:firstLine="640"/>
      </w:pPr>
      <w:r>
        <w:rPr>
          <w:rFonts w:hint="eastAsia" w:eastAsia="方正黑体_GBK"/>
        </w:rPr>
        <w:t xml:space="preserve">第十九条 </w:t>
      </w:r>
      <w:r>
        <w:rPr>
          <w:rFonts w:hint="eastAsia"/>
        </w:rPr>
        <w:t xml:space="preserve"> 本办法自2019年11月11日起施行。</w:t>
      </w:r>
    </w:p>
    <w:p>
      <w:pPr>
        <w:ind w:firstLine="640"/>
      </w:pPr>
      <w:r>
        <w:rPr>
          <w:rFonts w:hint="eastAsia"/>
        </w:rPr>
        <w:t>本办法施行后，原有科技特派员相关规定与本办法不一致的，按照本办法规定执行。</w:t>
      </w:r>
      <w:bookmarkStart w:id="0" w:name="c"/>
      <w:bookmarkEnd w:id="0"/>
      <w:bookmarkStart w:id="1" w:name="b"/>
      <w:bookmarkEnd w:id="1"/>
    </w:p>
    <w:p>
      <w:pPr>
        <w:ind w:firstLine="640"/>
      </w:pP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start="1"/>
      <w:cols w:space="0" w:num="1"/>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7296" w:leftChars="2280" w:firstLine="6400" w:firstLineChars="200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p>
  <w:p>
    <w:pPr>
      <w:ind w:left="7296" w:leftChars="2280" w:firstLine="6400" w:firstLineChars="2000"/>
    </w:pPr>
    <w:r>
      <w:rPr>
        <w:color w:val="FAFAFA"/>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594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2pt;z-index:251660288;mso-width-relative:page;mso-height-relative:page;" filled="f" stroked="t" coordsize="21600,21600" o:gfxdata="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FWGuU1QAA&#10;AAgBAAAPAAAAAAAAAAEAIAAAACIAAABkcnMvZG93bnJldi54bWxQSwECFAAUAAAACACHTuJA9IWM&#10;q+gBAAC0AwAADgAAAAAAAAABACAAAAAkAQAAZHJzL2Uyb0RvYy54bWxQSwUGAAAAAAYABgBZAQAA&#10;fgUAAAAA&#10;">
              <v:fill on="f" focussize="0,0"/>
              <v:stroke weight="1.75pt" color="#005192 [3204]" miterlimit="8" joinstyle="miter"/>
              <v:imagedata o:title=""/>
              <o:lock v:ext="edit" aspectratio="f"/>
            </v:line>
          </w:pict>
        </mc:Fallback>
      </mc:AlternateContent>
    </w:r>
  </w:p>
  <w:p>
    <w:pPr>
      <w:wordWrap w:val="0"/>
      <w:ind w:firstLine="562"/>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重庆市科学技术局</w:t>
    </w:r>
    <w:r>
      <w:rPr>
        <w:rFonts w:hint="eastAsia" w:ascii="宋体" w:hAnsi="宋体" w:eastAsia="宋体" w:cs="宋体"/>
        <w:b/>
        <w:bCs/>
        <w:color w:val="005192"/>
        <w:sz w:val="28"/>
        <w:szCs w:val="44"/>
      </w:rPr>
      <w:t>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3"/>
      <w:textAlignment w:val="center"/>
      <w:rPr>
        <w:rFonts w:ascii="宋体" w:hAnsi="宋体" w:eastAsia="宋体" w:cs="宋体"/>
        <w:b/>
        <w:bCs/>
        <w:color w:val="005192"/>
        <w:szCs w:val="32"/>
      </w:rPr>
    </w:pPr>
    <w:r>
      <w:rPr>
        <w:rFonts w:hint="eastAsia" w:ascii="方正仿宋_GBK" w:hAnsi="方正仿宋_GBK" w:cs="方正仿宋_GBK"/>
        <w:b/>
        <w:bCs/>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462280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5pt;margin-top:36.4pt;height:0pt;width:442.2pt;z-index:251659264;mso-width-relative:page;mso-height-relative:page;" filled="f" stroked="t" coordsize="21600,21600" o:gfxdata="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J2FhnTAAAABwEA&#10;AA8AAAAAAAAAAQAgAAAAIgAAAGRycy9kb3ducmV2LnhtbFBLAQIUABQAAAAIAIdO4kDmk18G5gEA&#10;ALIDAAAOAAAAAAAAAAEAIAAAACI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2" w:name="_Hlk105686991"/>
    <w:r>
      <w:rPr>
        <w:rFonts w:hint="eastAsia" w:ascii="宋体" w:hAnsi="宋体" w:eastAsia="宋体" w:cs="宋体"/>
        <w:b/>
        <w:bCs/>
        <w:color w:val="005192"/>
        <w:lang w:eastAsia="zh-Hans"/>
      </w:rPr>
      <w:t>重庆市科学技术局</w:t>
    </w:r>
    <w:bookmarkEnd w:id="2"/>
    <w:r>
      <w:rPr>
        <w:rFonts w:hint="eastAsia" w:ascii="宋体" w:hAnsi="宋体" w:eastAsia="宋体" w:cs="宋体"/>
        <w:b/>
        <w:bCs/>
        <w:color w:val="00519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zNGM2NTJhYjBlNTNjYmFiNjdkY2M5NTc5YWUzMzEifQ=="/>
  </w:docVars>
  <w:rsids>
    <w:rsidRoot w:val="00BD71E3"/>
    <w:rsid w:val="00141A92"/>
    <w:rsid w:val="00172A27"/>
    <w:rsid w:val="001E2657"/>
    <w:rsid w:val="0025464D"/>
    <w:rsid w:val="002E03C0"/>
    <w:rsid w:val="003D1490"/>
    <w:rsid w:val="004A3EA2"/>
    <w:rsid w:val="004C1B88"/>
    <w:rsid w:val="00544A7B"/>
    <w:rsid w:val="005B1E63"/>
    <w:rsid w:val="00716B8A"/>
    <w:rsid w:val="00791DB1"/>
    <w:rsid w:val="00B025C3"/>
    <w:rsid w:val="00BD71E3"/>
    <w:rsid w:val="00C06A63"/>
    <w:rsid w:val="00C21377"/>
    <w:rsid w:val="00E868D3"/>
    <w:rsid w:val="00EA6B85"/>
    <w:rsid w:val="00F2469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559B7"/>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D0F04ED"/>
    <w:rsid w:val="742A2E4C"/>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nhideWhenUsed="0" w:uiPriority="0" w:semiHidden="0" w:name="heading 2"/>
    <w:lsdException w:unhideWhenUsed="0" w:uiPriority="0" w:semiHidden="0" w:name="heading 3"/>
    <w:lsdException w:unhideWhenUsed="0" w:uiPriority="9" w:semiHidden="0" w:name="heading 4"/>
    <w:lsdException w:unhideWhenUsed="0" w:uiPriority="99" w:semiHidden="0" w:name="heading 5"/>
    <w:lsdException w:qFormat="1" w:unhideWhenUsed="0" w:uiPriority="99" w:semiHidden="0" w:name="heading 6"/>
    <w:lsdException w:unhideWhenUsed="0" w:uiPriority="99" w:semiHidden="0" w:name="heading 7"/>
    <w:lsdException w:unhideWhenUsed="0" w:uiPriority="99" w:semiHidden="0" w:name="heading 8"/>
    <w:lsdException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ind w:firstLine="200" w:firstLineChars="200"/>
      <w:contextualSpacing/>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link w:val="23"/>
    <w:uiPriority w:val="9"/>
    <w:pPr>
      <w:keepNext/>
      <w:keepLines/>
      <w:spacing w:before="340" w:after="330" w:line="578" w:lineRule="auto"/>
      <w:outlineLvl w:val="0"/>
    </w:pPr>
    <w:rPr>
      <w:rFonts w:eastAsia="方正黑体_GBK"/>
      <w:bCs/>
      <w:kern w:val="44"/>
      <w:szCs w:val="44"/>
    </w:rPr>
  </w:style>
  <w:style w:type="paragraph" w:styleId="3">
    <w:name w:val="heading 2"/>
    <w:basedOn w:val="1"/>
    <w:next w:val="1"/>
    <w:link w:val="24"/>
    <w:uiPriority w:val="0"/>
    <w:pPr>
      <w:keepNext/>
      <w:keepLines/>
      <w:spacing w:before="260" w:after="260" w:line="416" w:lineRule="auto"/>
      <w:outlineLvl w:val="1"/>
    </w:pPr>
    <w:rPr>
      <w:rFonts w:ascii="Cambria" w:hAnsi="Cambria"/>
      <w:b/>
      <w:bCs/>
      <w:szCs w:val="32"/>
    </w:rPr>
  </w:style>
  <w:style w:type="paragraph" w:styleId="4">
    <w:name w:val="heading 3"/>
    <w:basedOn w:val="1"/>
    <w:next w:val="1"/>
    <w:link w:val="25"/>
    <w:uiPriority w:val="0"/>
    <w:pPr>
      <w:keepNext/>
      <w:keepLines/>
      <w:spacing w:before="260" w:after="260" w:line="415" w:lineRule="auto"/>
      <w:outlineLvl w:val="2"/>
    </w:pPr>
    <w:rPr>
      <w:rFonts w:eastAsia="黑体"/>
      <w:b/>
      <w:bCs/>
      <w:szCs w:val="32"/>
    </w:rPr>
  </w:style>
  <w:style w:type="paragraph" w:styleId="5">
    <w:name w:val="heading 4"/>
    <w:basedOn w:val="1"/>
    <w:next w:val="1"/>
    <w:link w:val="26"/>
    <w:uiPriority w:val="9"/>
    <w:pPr>
      <w:spacing w:before="280" w:after="290" w:line="376" w:lineRule="auto"/>
      <w:outlineLvl w:val="3"/>
    </w:pPr>
    <w:rPr>
      <w:sz w:val="28"/>
      <w:szCs w:val="28"/>
    </w:rPr>
  </w:style>
  <w:style w:type="paragraph" w:styleId="6">
    <w:name w:val="heading 5"/>
    <w:basedOn w:val="1"/>
    <w:next w:val="1"/>
    <w:link w:val="27"/>
    <w:uiPriority w:val="99"/>
    <w:pPr>
      <w:keepNext/>
      <w:keepLines/>
      <w:spacing w:before="280" w:after="290" w:line="376" w:lineRule="auto"/>
      <w:outlineLvl w:val="4"/>
    </w:pPr>
    <w:rPr>
      <w:rFonts w:ascii="Arial Narrow" w:hAnsi="Arial Narrow" w:eastAsia="仿宋_GB2312"/>
      <w:b/>
      <w:bCs/>
      <w:color w:val="000000"/>
      <w:sz w:val="28"/>
      <w:szCs w:val="28"/>
    </w:rPr>
  </w:style>
  <w:style w:type="paragraph" w:styleId="7">
    <w:name w:val="heading 6"/>
    <w:basedOn w:val="1"/>
    <w:next w:val="1"/>
    <w:link w:val="28"/>
    <w:qFormat/>
    <w:uiPriority w:val="99"/>
    <w:pPr>
      <w:keepNext/>
      <w:keepLines/>
      <w:spacing w:before="240" w:after="64" w:line="320" w:lineRule="auto"/>
      <w:outlineLvl w:val="5"/>
    </w:pPr>
    <w:rPr>
      <w:rFonts w:ascii="Arial" w:hAnsi="Arial" w:eastAsia="黑体"/>
      <w:b/>
      <w:bCs/>
      <w:sz w:val="24"/>
    </w:rPr>
  </w:style>
  <w:style w:type="paragraph" w:styleId="8">
    <w:name w:val="heading 7"/>
    <w:basedOn w:val="1"/>
    <w:next w:val="1"/>
    <w:link w:val="29"/>
    <w:uiPriority w:val="99"/>
    <w:pPr>
      <w:keepNext/>
      <w:keepLines/>
      <w:spacing w:before="240" w:after="64" w:line="320" w:lineRule="auto"/>
      <w:outlineLvl w:val="6"/>
    </w:pPr>
    <w:rPr>
      <w:b/>
      <w:bCs/>
      <w:sz w:val="24"/>
    </w:rPr>
  </w:style>
  <w:style w:type="paragraph" w:styleId="9">
    <w:name w:val="heading 8"/>
    <w:basedOn w:val="1"/>
    <w:next w:val="1"/>
    <w:link w:val="30"/>
    <w:uiPriority w:val="99"/>
    <w:pPr>
      <w:keepNext/>
      <w:keepLines/>
      <w:spacing w:before="240" w:after="64" w:line="320" w:lineRule="auto"/>
      <w:outlineLvl w:val="7"/>
    </w:pPr>
    <w:rPr>
      <w:rFonts w:ascii="Arial" w:hAnsi="Arial" w:eastAsia="黑体"/>
      <w:sz w:val="24"/>
    </w:rPr>
  </w:style>
  <w:style w:type="paragraph" w:styleId="10">
    <w:name w:val="heading 9"/>
    <w:basedOn w:val="1"/>
    <w:next w:val="1"/>
    <w:link w:val="31"/>
    <w:uiPriority w:val="99"/>
    <w:pPr>
      <w:keepNext/>
      <w:keepLines/>
      <w:spacing w:before="240" w:after="64" w:line="320" w:lineRule="auto"/>
      <w:outlineLvl w:val="8"/>
    </w:pPr>
    <w:rPr>
      <w:rFonts w:ascii="Arial" w:hAnsi="Arial" w:eastAsia="黑体"/>
      <w:szCs w:val="21"/>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39"/>
    <w:uiPriority w:val="99"/>
    <w:pPr>
      <w:jc w:val="left"/>
    </w:pPr>
  </w:style>
  <w:style w:type="paragraph" w:styleId="12">
    <w:name w:val="Date"/>
    <w:basedOn w:val="1"/>
    <w:next w:val="1"/>
    <w:link w:val="41"/>
    <w:unhideWhenUsed/>
    <w:uiPriority w:val="99"/>
    <w:pPr>
      <w:adjustRightInd/>
      <w:snapToGrid/>
      <w:spacing w:line="240" w:lineRule="auto"/>
      <w:ind w:left="100" w:leftChars="2500" w:firstLine="0" w:firstLineChars="0"/>
      <w:contextualSpacing w:val="0"/>
    </w:pPr>
    <w:rPr>
      <w:rFonts w:ascii="Calibri" w:hAnsi="Calibri" w:eastAsia="宋体"/>
      <w:kern w:val="0"/>
      <w:sz w:val="20"/>
      <w:szCs w:val="20"/>
    </w:rPr>
  </w:style>
  <w:style w:type="paragraph" w:styleId="13">
    <w:name w:val="Balloon Text"/>
    <w:basedOn w:val="1"/>
    <w:link w:val="38"/>
    <w:uiPriority w:val="0"/>
    <w:pPr>
      <w:spacing w:line="240" w:lineRule="auto"/>
    </w:pPr>
    <w:rPr>
      <w:sz w:val="18"/>
      <w:szCs w:val="18"/>
    </w:rPr>
  </w:style>
  <w:style w:type="paragraph" w:styleId="14">
    <w:name w:val="footer"/>
    <w:basedOn w:val="1"/>
    <w:link w:val="47"/>
    <w:qFormat/>
    <w:uiPriority w:val="99"/>
    <w:pPr>
      <w:tabs>
        <w:tab w:val="center" w:pos="4153"/>
        <w:tab w:val="right" w:pos="8306"/>
      </w:tabs>
      <w:spacing w:line="240" w:lineRule="atLeast"/>
      <w:jc w:val="left"/>
    </w:pPr>
    <w:rPr>
      <w:sz w:val="18"/>
      <w:szCs w:val="18"/>
    </w:rPr>
  </w:style>
  <w:style w:type="paragraph" w:styleId="15">
    <w:name w:val="header"/>
    <w:basedOn w:val="1"/>
    <w:link w:val="48"/>
    <w:uiPriority w:val="99"/>
    <w:pPr>
      <w:pBdr>
        <w:bottom w:val="single" w:color="auto" w:sz="6" w:space="1"/>
      </w:pBdr>
      <w:tabs>
        <w:tab w:val="center" w:pos="4153"/>
        <w:tab w:val="right" w:pos="8306"/>
      </w:tabs>
      <w:spacing w:line="240" w:lineRule="atLeast"/>
      <w:jc w:val="center"/>
    </w:pPr>
    <w:rPr>
      <w:sz w:val="18"/>
      <w:szCs w:val="18"/>
    </w:rPr>
  </w:style>
  <w:style w:type="paragraph" w:styleId="16">
    <w:name w:val="annotation subject"/>
    <w:basedOn w:val="11"/>
    <w:next w:val="11"/>
    <w:link w:val="40"/>
    <w:uiPriority w:val="99"/>
    <w:rPr>
      <w:b/>
      <w:bCs/>
    </w:rPr>
  </w:style>
  <w:style w:type="table" w:styleId="18">
    <w:name w:val="Table Grid"/>
    <w:basedOn w:val="17"/>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uiPriority w:val="0"/>
  </w:style>
  <w:style w:type="character" w:styleId="21">
    <w:name w:val="Hyperlink"/>
    <w:basedOn w:val="19"/>
    <w:unhideWhenUsed/>
    <w:uiPriority w:val="99"/>
    <w:rPr>
      <w:color w:val="0000FF"/>
      <w:u w:val="single"/>
    </w:rPr>
  </w:style>
  <w:style w:type="character" w:styleId="22">
    <w:name w:val="annotation reference"/>
    <w:basedOn w:val="19"/>
    <w:uiPriority w:val="0"/>
    <w:rPr>
      <w:sz w:val="21"/>
      <w:szCs w:val="21"/>
    </w:rPr>
  </w:style>
  <w:style w:type="character" w:customStyle="1" w:styleId="23">
    <w:name w:val="标题 1 字符"/>
    <w:link w:val="2"/>
    <w:qFormat/>
    <w:uiPriority w:val="9"/>
    <w:rPr>
      <w:rFonts w:eastAsia="方正黑体_GBK"/>
      <w:bCs/>
      <w:kern w:val="44"/>
      <w:sz w:val="32"/>
      <w:szCs w:val="44"/>
    </w:rPr>
  </w:style>
  <w:style w:type="character" w:customStyle="1" w:styleId="24">
    <w:name w:val="标题 2 字符"/>
    <w:link w:val="3"/>
    <w:qFormat/>
    <w:uiPriority w:val="0"/>
    <w:rPr>
      <w:rFonts w:ascii="Cambria" w:hAnsi="Cambria" w:eastAsia="方正仿宋_GBK"/>
      <w:b/>
      <w:bCs/>
      <w:kern w:val="2"/>
      <w:sz w:val="32"/>
      <w:szCs w:val="32"/>
    </w:rPr>
  </w:style>
  <w:style w:type="character" w:customStyle="1" w:styleId="25">
    <w:name w:val="标题 3 字符"/>
    <w:link w:val="4"/>
    <w:qFormat/>
    <w:uiPriority w:val="0"/>
    <w:rPr>
      <w:rFonts w:eastAsia="黑体"/>
      <w:b/>
      <w:bCs/>
      <w:kern w:val="2"/>
      <w:sz w:val="32"/>
      <w:szCs w:val="32"/>
    </w:rPr>
  </w:style>
  <w:style w:type="character" w:customStyle="1" w:styleId="26">
    <w:name w:val="标题 4 字符"/>
    <w:link w:val="5"/>
    <w:qFormat/>
    <w:uiPriority w:val="9"/>
    <w:rPr>
      <w:rFonts w:eastAsia="方正仿宋_GBK"/>
      <w:kern w:val="2"/>
      <w:sz w:val="28"/>
      <w:szCs w:val="28"/>
    </w:rPr>
  </w:style>
  <w:style w:type="character" w:customStyle="1" w:styleId="27">
    <w:name w:val="标题 5 字符"/>
    <w:link w:val="6"/>
    <w:qFormat/>
    <w:uiPriority w:val="99"/>
    <w:rPr>
      <w:rFonts w:ascii="Arial Narrow" w:hAnsi="Arial Narrow" w:eastAsia="仿宋_GB2312"/>
      <w:b/>
      <w:bCs/>
      <w:color w:val="000000"/>
      <w:kern w:val="2"/>
      <w:sz w:val="28"/>
      <w:szCs w:val="28"/>
    </w:rPr>
  </w:style>
  <w:style w:type="character" w:customStyle="1" w:styleId="28">
    <w:name w:val="标题 6 字符"/>
    <w:link w:val="7"/>
    <w:qFormat/>
    <w:uiPriority w:val="99"/>
    <w:rPr>
      <w:rFonts w:ascii="Arial" w:hAnsi="Arial" w:eastAsia="黑体"/>
      <w:b/>
      <w:bCs/>
      <w:kern w:val="2"/>
      <w:sz w:val="24"/>
      <w:szCs w:val="24"/>
    </w:rPr>
  </w:style>
  <w:style w:type="character" w:customStyle="1" w:styleId="29">
    <w:name w:val="标题 7 字符"/>
    <w:link w:val="8"/>
    <w:qFormat/>
    <w:uiPriority w:val="99"/>
    <w:rPr>
      <w:rFonts w:eastAsia="方正仿宋_GBK"/>
      <w:b/>
      <w:bCs/>
      <w:kern w:val="2"/>
      <w:sz w:val="24"/>
      <w:szCs w:val="24"/>
    </w:rPr>
  </w:style>
  <w:style w:type="character" w:customStyle="1" w:styleId="30">
    <w:name w:val="标题 8 字符"/>
    <w:link w:val="9"/>
    <w:qFormat/>
    <w:uiPriority w:val="99"/>
    <w:rPr>
      <w:rFonts w:ascii="Arial" w:hAnsi="Arial" w:eastAsia="黑体"/>
      <w:kern w:val="2"/>
      <w:sz w:val="24"/>
      <w:szCs w:val="24"/>
    </w:rPr>
  </w:style>
  <w:style w:type="character" w:customStyle="1" w:styleId="31">
    <w:name w:val="标题 9 字符"/>
    <w:link w:val="10"/>
    <w:qFormat/>
    <w:uiPriority w:val="99"/>
    <w:rPr>
      <w:rFonts w:ascii="Arial" w:hAnsi="Arial" w:eastAsia="黑体"/>
      <w:kern w:val="2"/>
      <w:sz w:val="32"/>
      <w:szCs w:val="21"/>
    </w:rPr>
  </w:style>
  <w:style w:type="paragraph" w:customStyle="1" w:styleId="32">
    <w:name w:val="表格字体"/>
    <w:basedOn w:val="1"/>
    <w:qFormat/>
    <w:uiPriority w:val="0"/>
    <w:pPr>
      <w:spacing w:line="240" w:lineRule="auto"/>
      <w:ind w:firstLine="0" w:firstLineChars="0"/>
    </w:pPr>
    <w:rPr>
      <w:sz w:val="21"/>
    </w:rPr>
  </w:style>
  <w:style w:type="paragraph" w:customStyle="1" w:styleId="33">
    <w:name w:val="二级标题"/>
    <w:basedOn w:val="1"/>
    <w:next w:val="1"/>
    <w:qFormat/>
    <w:uiPriority w:val="0"/>
    <w:pPr>
      <w:outlineLvl w:val="1"/>
    </w:pPr>
    <w:rPr>
      <w:rFonts w:eastAsia="方正楷体_GBK"/>
    </w:rPr>
  </w:style>
  <w:style w:type="paragraph" w:customStyle="1" w:styleId="34">
    <w:name w:val="附件"/>
    <w:basedOn w:val="1"/>
    <w:next w:val="1"/>
    <w:qFormat/>
    <w:uiPriority w:val="0"/>
    <w:pPr>
      <w:ind w:firstLine="0" w:firstLineChars="0"/>
      <w:outlineLvl w:val="0"/>
    </w:pPr>
    <w:rPr>
      <w:rFonts w:eastAsia="方正黑体_GBK"/>
    </w:rPr>
  </w:style>
  <w:style w:type="paragraph" w:styleId="35">
    <w:name w:val="List Paragraph"/>
    <w:basedOn w:val="1"/>
    <w:uiPriority w:val="99"/>
    <w:pPr>
      <w:ind w:firstLine="420"/>
    </w:pPr>
  </w:style>
  <w:style w:type="paragraph" w:customStyle="1" w:styleId="36">
    <w:name w:val="落款"/>
    <w:basedOn w:val="1"/>
    <w:next w:val="1"/>
    <w:link w:val="37"/>
    <w:qFormat/>
    <w:uiPriority w:val="0"/>
    <w:pPr>
      <w:ind w:right="200" w:rightChars="200" w:firstLine="0" w:firstLineChars="0"/>
      <w:jc w:val="right"/>
    </w:pPr>
  </w:style>
  <w:style w:type="character" w:customStyle="1" w:styleId="37">
    <w:name w:val="落款 字符"/>
    <w:basedOn w:val="19"/>
    <w:link w:val="36"/>
    <w:uiPriority w:val="0"/>
    <w:rPr>
      <w:rFonts w:eastAsia="方正仿宋_GBK"/>
      <w:kern w:val="2"/>
      <w:sz w:val="32"/>
      <w:szCs w:val="24"/>
    </w:rPr>
  </w:style>
  <w:style w:type="character" w:customStyle="1" w:styleId="38">
    <w:name w:val="批注框文本 字符"/>
    <w:basedOn w:val="19"/>
    <w:link w:val="13"/>
    <w:uiPriority w:val="0"/>
    <w:rPr>
      <w:rFonts w:eastAsia="方正仿宋_GBK"/>
      <w:kern w:val="2"/>
      <w:sz w:val="18"/>
      <w:szCs w:val="18"/>
    </w:rPr>
  </w:style>
  <w:style w:type="character" w:customStyle="1" w:styleId="39">
    <w:name w:val="批注文字 字符"/>
    <w:basedOn w:val="19"/>
    <w:link w:val="11"/>
    <w:uiPriority w:val="99"/>
    <w:rPr>
      <w:rFonts w:eastAsia="方正仿宋_GBK"/>
      <w:kern w:val="2"/>
      <w:sz w:val="32"/>
      <w:szCs w:val="24"/>
    </w:rPr>
  </w:style>
  <w:style w:type="character" w:customStyle="1" w:styleId="40">
    <w:name w:val="批注主题 字符"/>
    <w:basedOn w:val="39"/>
    <w:link w:val="16"/>
    <w:uiPriority w:val="99"/>
    <w:rPr>
      <w:rFonts w:eastAsia="方正仿宋_GBK"/>
      <w:b/>
      <w:bCs/>
      <w:kern w:val="2"/>
      <w:sz w:val="32"/>
      <w:szCs w:val="24"/>
    </w:rPr>
  </w:style>
  <w:style w:type="character" w:customStyle="1" w:styleId="41">
    <w:name w:val="日期 字符"/>
    <w:basedOn w:val="19"/>
    <w:link w:val="12"/>
    <w:uiPriority w:val="99"/>
    <w:rPr>
      <w:rFonts w:ascii="Calibri" w:hAnsi="Calibri"/>
    </w:rPr>
  </w:style>
  <w:style w:type="character" w:customStyle="1" w:styleId="42">
    <w:name w:val="日期 字符1"/>
    <w:basedOn w:val="19"/>
    <w:uiPriority w:val="0"/>
    <w:rPr>
      <w:rFonts w:ascii="Times New Roman" w:hAnsi="Times New Roman" w:eastAsia="方正仿宋_GBK"/>
      <w:kern w:val="2"/>
      <w:sz w:val="32"/>
      <w:szCs w:val="24"/>
    </w:rPr>
  </w:style>
  <w:style w:type="paragraph" w:customStyle="1" w:styleId="43">
    <w:name w:val="三级标题"/>
    <w:basedOn w:val="1"/>
    <w:next w:val="1"/>
    <w:uiPriority w:val="0"/>
    <w:pPr>
      <w:outlineLvl w:val="2"/>
    </w:pPr>
    <w:rPr>
      <w:b/>
    </w:rPr>
  </w:style>
  <w:style w:type="paragraph" w:customStyle="1" w:styleId="44">
    <w:name w:val="图表标题"/>
    <w:basedOn w:val="1"/>
    <w:next w:val="1"/>
    <w:uiPriority w:val="0"/>
    <w:pPr>
      <w:ind w:firstLine="0" w:firstLineChars="0"/>
      <w:jc w:val="center"/>
      <w:outlineLvl w:val="2"/>
    </w:pPr>
    <w:rPr>
      <w:rFonts w:eastAsia="方正黑体_GBK"/>
      <w:sz w:val="28"/>
    </w:rPr>
  </w:style>
  <w:style w:type="paragraph" w:customStyle="1" w:styleId="45">
    <w:name w:val="文档标题"/>
    <w:basedOn w:val="1"/>
    <w:next w:val="1"/>
    <w:qFormat/>
    <w:uiPriority w:val="0"/>
    <w:pPr>
      <w:ind w:firstLine="0" w:firstLineChars="0"/>
      <w:jc w:val="center"/>
      <w:outlineLvl w:val="0"/>
    </w:pPr>
    <w:rPr>
      <w:rFonts w:eastAsia="方正小标宋_GBK"/>
      <w:sz w:val="44"/>
    </w:rPr>
  </w:style>
  <w:style w:type="paragraph" w:customStyle="1" w:styleId="46">
    <w:name w:val="文号"/>
    <w:basedOn w:val="1"/>
    <w:next w:val="1"/>
    <w:qFormat/>
    <w:uiPriority w:val="0"/>
    <w:pPr>
      <w:ind w:firstLine="0" w:firstLineChars="0"/>
      <w:jc w:val="center"/>
    </w:pPr>
  </w:style>
  <w:style w:type="character" w:customStyle="1" w:styleId="47">
    <w:name w:val="页脚 字符"/>
    <w:basedOn w:val="19"/>
    <w:link w:val="14"/>
    <w:uiPriority w:val="99"/>
    <w:rPr>
      <w:rFonts w:eastAsia="方正仿宋_GBK"/>
      <w:kern w:val="2"/>
      <w:sz w:val="18"/>
      <w:szCs w:val="18"/>
    </w:rPr>
  </w:style>
  <w:style w:type="character" w:customStyle="1" w:styleId="48">
    <w:name w:val="页眉 字符"/>
    <w:basedOn w:val="19"/>
    <w:link w:val="15"/>
    <w:uiPriority w:val="99"/>
    <w:rPr>
      <w:rFonts w:eastAsia="方正仿宋_GBK"/>
      <w:kern w:val="2"/>
      <w:sz w:val="18"/>
      <w:szCs w:val="18"/>
    </w:rPr>
  </w:style>
  <w:style w:type="paragraph" w:customStyle="1" w:styleId="49">
    <w:name w:val="一级标题"/>
    <w:basedOn w:val="1"/>
    <w:next w:val="1"/>
    <w:link w:val="50"/>
    <w:qFormat/>
    <w:uiPriority w:val="0"/>
    <w:pPr>
      <w:outlineLvl w:val="0"/>
    </w:pPr>
    <w:rPr>
      <w:rFonts w:eastAsia="方正黑体_GBK"/>
      <w:szCs w:val="32"/>
    </w:rPr>
  </w:style>
  <w:style w:type="character" w:customStyle="1" w:styleId="50">
    <w:name w:val="一级标题 字符"/>
    <w:basedOn w:val="19"/>
    <w:link w:val="49"/>
    <w:uiPriority w:val="0"/>
    <w:rPr>
      <w:rFonts w:eastAsia="方正黑体_GBK"/>
      <w:kern w:val="2"/>
      <w:sz w:val="32"/>
      <w:szCs w:val="32"/>
    </w:rPr>
  </w:style>
  <w:style w:type="paragraph" w:customStyle="1" w:styleId="51">
    <w:name w:val="章节标题"/>
    <w:basedOn w:val="1"/>
    <w:next w:val="1"/>
    <w:qFormat/>
    <w:uiPriority w:val="0"/>
    <w:pPr>
      <w:ind w:firstLine="0" w:firstLineChars="0"/>
      <w:jc w:val="center"/>
      <w:outlineLvl w:val="0"/>
    </w:pPr>
    <w:rPr>
      <w:rFonts w:eastAsia="方正黑体_GBK"/>
    </w:rPr>
  </w:style>
  <w:style w:type="paragraph" w:customStyle="1" w:styleId="52">
    <w:name w:val="正文顶格"/>
    <w:basedOn w:val="1"/>
    <w:next w:val="1"/>
    <w:link w:val="53"/>
    <w:qFormat/>
    <w:uiPriority w:val="0"/>
    <w:pPr>
      <w:ind w:firstLine="0" w:firstLineChars="0"/>
    </w:pPr>
  </w:style>
  <w:style w:type="character" w:customStyle="1" w:styleId="53">
    <w:name w:val="正文顶格 字符"/>
    <w:basedOn w:val="19"/>
    <w:link w:val="52"/>
    <w:uiPriority w:val="0"/>
    <w:rPr>
      <w:rFonts w:eastAsia="方正仿宋_GBK"/>
      <w:kern w:val="2"/>
      <w:sz w:val="32"/>
      <w:szCs w:val="24"/>
    </w:rPr>
  </w:style>
  <w:style w:type="paragraph" w:customStyle="1" w:styleId="54">
    <w:name w:val="专栏"/>
    <w:basedOn w:val="1"/>
    <w:uiPriority w:val="0"/>
    <w:pPr>
      <w:spacing w:line="400" w:lineRule="exact"/>
    </w:pPr>
    <w:rPr>
      <w:sz w:val="24"/>
    </w:rPr>
  </w:style>
  <w:style w:type="paragraph" w:customStyle="1" w:styleId="55">
    <w:name w:val="专栏编号"/>
    <w:basedOn w:val="54"/>
    <w:next w:val="54"/>
    <w:uiPriority w:val="0"/>
    <w:pPr>
      <w:ind w:firstLine="0" w:firstLineChars="0"/>
      <w:outlineLvl w:val="2"/>
    </w:pPr>
    <w:rPr>
      <w:rFonts w:eastAsia="方正黑体_GBK"/>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pli\Desktop\&#38468;&#20214;5%20%20&#34892;&#25919;&#35268;&#33539;&#24615;&#25991;&#20214;WORD&#26684;&#24335;&#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附件5  行政规范性文件WORD格式模板</Template>
  <Pages>7</Pages>
  <Words>2618</Words>
  <Characters>2638</Characters>
  <Lines>19</Lines>
  <Paragraphs>5</Paragraphs>
  <TotalTime>1</TotalTime>
  <ScaleCrop>false</ScaleCrop>
  <LinksUpToDate>false</LinksUpToDate>
  <CharactersWithSpaces>2690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2022-06-09T08:55:00Z</dcterms:created>
  <dc:creator>陈增林</dc:creator>
  <cp:lastModifiedBy>条条</cp:lastModifiedBy>
  <cp:lastPrinted>2022-06-06T16:09:00Z</cp:lastPrinted>
  <dcterms:modified xsi:type="dcterms:W3CDTF">2022-06-10T08:45:23Z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