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pPr>
    </w:p>
    <w:p>
      <w:pPr>
        <w:ind w:firstLine="640"/>
        <w:rPr>
          <w:rFonts w:hint="eastAsia"/>
        </w:rPr>
      </w:pPr>
    </w:p>
    <w:p>
      <w:pPr>
        <w:pStyle w:val="44"/>
        <w:rPr>
          <w:rFonts w:hint="eastAsia"/>
        </w:rPr>
      </w:pPr>
      <w:r>
        <w:rPr>
          <w:rFonts w:hint="eastAsia"/>
        </w:rPr>
        <w:t>重庆市科学技术局</w:t>
      </w:r>
    </w:p>
    <w:p>
      <w:pPr>
        <w:pStyle w:val="44"/>
        <w:rPr>
          <w:rFonts w:hint="eastAsia"/>
        </w:rPr>
      </w:pPr>
      <w:r>
        <w:rPr>
          <w:rFonts w:hint="eastAsia"/>
        </w:rPr>
        <w:t>关于印发《重庆市野外科学观测研究站</w:t>
      </w:r>
    </w:p>
    <w:p>
      <w:pPr>
        <w:pStyle w:val="44"/>
      </w:pPr>
      <w:r>
        <w:rPr>
          <w:rFonts w:hint="eastAsia"/>
        </w:rPr>
        <w:t>管理办法》的通知</w:t>
      </w:r>
    </w:p>
    <w:p>
      <w:pPr>
        <w:pStyle w:val="45"/>
      </w:pPr>
      <w:r>
        <w:rPr>
          <w:rFonts w:hint="eastAsia"/>
        </w:rPr>
        <w:t>渝科局发〔</w:t>
      </w:r>
      <w:r>
        <w:t>201</w:t>
      </w:r>
      <w:r>
        <w:rPr>
          <w:rFonts w:hint="eastAsia"/>
        </w:rPr>
        <w:t>9〕128号</w:t>
      </w:r>
    </w:p>
    <w:p>
      <w:pPr>
        <w:ind w:firstLine="640"/>
        <w:rPr>
          <w:rFonts w:hint="eastAsia"/>
        </w:rPr>
      </w:pPr>
    </w:p>
    <w:p>
      <w:pPr>
        <w:pStyle w:val="51"/>
        <w:rPr>
          <w:rFonts w:hint="eastAsia"/>
        </w:rPr>
      </w:pPr>
      <w:r>
        <w:rPr>
          <w:rFonts w:hint="eastAsia"/>
        </w:rPr>
        <w:t>各有关单位：</w:t>
      </w:r>
    </w:p>
    <w:p>
      <w:pPr>
        <w:ind w:firstLine="640"/>
        <w:rPr>
          <w:rFonts w:hint="eastAsia"/>
        </w:rPr>
      </w:pPr>
      <w:r>
        <w:rPr>
          <w:rFonts w:hint="eastAsia"/>
        </w:rPr>
        <w:t>根据《重庆市科技创新基地优化整合方案》（渝科委发〔2018〕69号）对重庆市野外科学观测研究站的定位和任务要求，经商市财政局，市科技局研究制定了《重庆市野外科学观测研究站管理办法》，现印发给你们，请遵照执行。</w:t>
      </w:r>
    </w:p>
    <w:p>
      <w:pPr>
        <w:ind w:firstLine="640"/>
        <w:rPr>
          <w:rFonts w:hint="eastAsia"/>
        </w:rPr>
      </w:pPr>
    </w:p>
    <w:p>
      <w:pPr>
        <w:pStyle w:val="35"/>
        <w:ind w:right="640"/>
        <w:rPr>
          <w:rFonts w:hint="eastAsia"/>
        </w:rPr>
      </w:pPr>
      <w:r>
        <w:rPr>
          <w:rFonts w:hint="eastAsia"/>
        </w:rPr>
        <w:t>重庆市科学技术局</w:t>
      </w:r>
    </w:p>
    <w:p>
      <w:pPr>
        <w:pStyle w:val="35"/>
        <w:ind w:right="640"/>
      </w:pPr>
      <w:r>
        <w:rPr>
          <w:rFonts w:hint="eastAsia"/>
        </w:rPr>
        <w:t>2019年10月10日</w:t>
      </w:r>
    </w:p>
    <w:p>
      <w:pPr>
        <w:ind w:firstLine="640"/>
        <w:rPr>
          <w:rFonts w:hint="eastAsia"/>
        </w:rPr>
      </w:pPr>
    </w:p>
    <w:p>
      <w:pPr>
        <w:pStyle w:val="44"/>
      </w:pPr>
      <w:bookmarkStart w:id="1" w:name="_GoBack"/>
      <w:bookmarkEnd w:id="1"/>
      <w:r>
        <w:br w:type="page"/>
      </w:r>
      <w:r>
        <w:rPr>
          <w:rFonts w:hint="eastAsia"/>
        </w:rPr>
        <w:t>重庆市野外科学观测研究站管理办法</w:t>
      </w:r>
    </w:p>
    <w:p>
      <w:pPr>
        <w:ind w:firstLine="640"/>
      </w:pPr>
    </w:p>
    <w:p>
      <w:pPr>
        <w:pStyle w:val="50"/>
      </w:pPr>
      <w:r>
        <w:rPr>
          <w:rFonts w:hint="eastAsia"/>
        </w:rPr>
        <w:t>第一章</w:t>
      </w:r>
      <w:r>
        <w:t xml:space="preserve">  </w:t>
      </w:r>
      <w:r>
        <w:rPr>
          <w:rFonts w:hint="eastAsia"/>
        </w:rPr>
        <w:t>总</w:t>
      </w:r>
      <w:r>
        <w:t xml:space="preserve">  </w:t>
      </w:r>
      <w:r>
        <w:rPr>
          <w:rFonts w:hint="eastAsia"/>
        </w:rPr>
        <w:t>则</w:t>
      </w:r>
    </w:p>
    <w:p>
      <w:pPr>
        <w:ind w:firstLine="640"/>
        <w:rPr>
          <w:rFonts w:hint="eastAsia"/>
        </w:rPr>
      </w:pPr>
    </w:p>
    <w:p>
      <w:pPr>
        <w:ind w:firstLine="640"/>
      </w:pPr>
      <w:r>
        <w:rPr>
          <w:rFonts w:hint="eastAsia" w:eastAsia="方正黑体_GBK"/>
        </w:rPr>
        <w:t>第一条</w:t>
      </w:r>
      <w:r>
        <w:t xml:space="preserve">  </w:t>
      </w:r>
      <w:r>
        <w:rPr>
          <w:rFonts w:hint="eastAsia"/>
        </w:rPr>
        <w:t>为深入贯彻落实《国务院关于全面加强基础科学研究的若干意见》（国发〔</w:t>
      </w:r>
      <w:r>
        <w:t>2018</w:t>
      </w:r>
      <w:r>
        <w:rPr>
          <w:rFonts w:hint="eastAsia"/>
        </w:rPr>
        <w:t>〕</w:t>
      </w:r>
      <w:r>
        <w:t>4</w:t>
      </w:r>
      <w:r>
        <w:rPr>
          <w:rFonts w:hint="eastAsia"/>
        </w:rPr>
        <w:t>号），进一步规范和加强重庆市野外科学观测研究站（以下简称野外站）的建设与运行管理，按照《“十三五”国家科技创新基地与条件保障能力建设专项规划》（国科发基〔</w:t>
      </w:r>
      <w:r>
        <w:t>2017</w:t>
      </w:r>
      <w:r>
        <w:rPr>
          <w:rFonts w:hint="eastAsia"/>
        </w:rPr>
        <w:t>〕</w:t>
      </w:r>
      <w:r>
        <w:t>322</w:t>
      </w:r>
      <w:r>
        <w:rPr>
          <w:rFonts w:hint="eastAsia"/>
        </w:rPr>
        <w:t>号）、《国家野外科学观测研究站管理办法》（国科发基〔</w:t>
      </w:r>
      <w:r>
        <w:t>2018</w:t>
      </w:r>
      <w:r>
        <w:rPr>
          <w:rFonts w:hint="eastAsia"/>
        </w:rPr>
        <w:t>〕</w:t>
      </w:r>
      <w:r>
        <w:t>71</w:t>
      </w:r>
      <w:r>
        <w:rPr>
          <w:rFonts w:hint="eastAsia"/>
        </w:rPr>
        <w:t>号）、《国家野外科学观测研究站建设发展方案（</w:t>
      </w:r>
      <w:r>
        <w:t>2019</w:t>
      </w:r>
      <w:r>
        <w:rPr>
          <w:rFonts w:hint="eastAsia"/>
        </w:rPr>
        <w:t>－</w:t>
      </w:r>
      <w:r>
        <w:t>2025</w:t>
      </w:r>
      <w:r>
        <w:rPr>
          <w:rFonts w:hint="eastAsia"/>
        </w:rPr>
        <w:t>）》（国科办基〔</w:t>
      </w:r>
      <w:r>
        <w:t>2019</w:t>
      </w:r>
      <w:r>
        <w:rPr>
          <w:rFonts w:hint="eastAsia"/>
        </w:rPr>
        <w:t>〕</w:t>
      </w:r>
      <w:r>
        <w:t>55</w:t>
      </w:r>
      <w:r>
        <w:rPr>
          <w:rFonts w:hint="eastAsia"/>
        </w:rPr>
        <w:t>号），结合重庆市科技创新基地优化整合方案有关要求，制定本办法。</w:t>
      </w:r>
    </w:p>
    <w:p>
      <w:pPr>
        <w:ind w:firstLine="640"/>
      </w:pPr>
      <w:r>
        <w:rPr>
          <w:rFonts w:hint="eastAsia" w:eastAsia="方正黑体_GBK"/>
        </w:rPr>
        <w:t>第二条</w:t>
      </w:r>
      <w:r>
        <w:t xml:space="preserve">  </w:t>
      </w:r>
      <w:r>
        <w:rPr>
          <w:rFonts w:hint="eastAsia"/>
        </w:rPr>
        <w:t>野外站是重庆市科技创新基地的重要组成部分，其主要任务是服务于生态学、地学、农学、环境科学、材料科学、交通、能源及装备等领域发展，获取长期野外定位观测数据并开展高水平科学研究工作，为我市科技创新与经济社会可持续发展提供基础支撑和条件保障。</w:t>
      </w:r>
    </w:p>
    <w:p>
      <w:pPr>
        <w:ind w:firstLine="640"/>
      </w:pPr>
      <w:r>
        <w:rPr>
          <w:rFonts w:hint="eastAsia" w:eastAsia="方正黑体_GBK"/>
        </w:rPr>
        <w:t>第三条</w:t>
      </w:r>
      <w:r>
        <w:t xml:space="preserve">  </w:t>
      </w:r>
      <w:r>
        <w:rPr>
          <w:rFonts w:hint="eastAsia"/>
        </w:rPr>
        <w:t>野外站依托高等院校、科研院所、企业等单位建设，实行“分类管理、联合协作、资源共享、动态调整”的运行机制。</w:t>
      </w:r>
    </w:p>
    <w:p>
      <w:pPr>
        <w:ind w:firstLine="640"/>
      </w:pPr>
      <w:r>
        <w:rPr>
          <w:rFonts w:hint="eastAsia" w:eastAsia="方正黑体_GBK"/>
        </w:rPr>
        <w:t>第四条</w:t>
      </w:r>
      <w:r>
        <w:t xml:space="preserve">  </w:t>
      </w:r>
      <w:r>
        <w:rPr>
          <w:rFonts w:hint="eastAsia"/>
        </w:rPr>
        <w:t>市级科技发展专项资金支持野外站的运行维护和观测研究等。</w:t>
      </w:r>
    </w:p>
    <w:p>
      <w:pPr>
        <w:pStyle w:val="50"/>
      </w:pPr>
      <w:r>
        <w:rPr>
          <w:rFonts w:hint="eastAsia"/>
        </w:rPr>
        <w:t>第二章</w:t>
      </w:r>
      <w:r>
        <w:t xml:space="preserve">  </w:t>
      </w:r>
      <w:r>
        <w:rPr>
          <w:rFonts w:hint="eastAsia"/>
        </w:rPr>
        <w:t>职</w:t>
      </w:r>
      <w:r>
        <w:t xml:space="preserve">  </w:t>
      </w:r>
      <w:r>
        <w:rPr>
          <w:rFonts w:hint="eastAsia"/>
        </w:rPr>
        <w:t>责</w:t>
      </w:r>
    </w:p>
    <w:p>
      <w:pPr>
        <w:ind w:firstLine="640"/>
        <w:rPr>
          <w:rFonts w:hint="eastAsia"/>
        </w:rPr>
      </w:pPr>
    </w:p>
    <w:p>
      <w:pPr>
        <w:ind w:firstLine="640"/>
      </w:pPr>
      <w:r>
        <w:rPr>
          <w:rFonts w:hint="eastAsia" w:eastAsia="方正黑体_GBK"/>
        </w:rPr>
        <w:t>第五条</w:t>
      </w:r>
      <w:r>
        <w:t xml:space="preserve">  </w:t>
      </w:r>
      <w:r>
        <w:rPr>
          <w:rFonts w:hint="eastAsia"/>
        </w:rPr>
        <w:t>重庆市科学技术局（以下简称市科技局）是野外站的牵头管理部门，主要职责有：</w:t>
      </w:r>
    </w:p>
    <w:p>
      <w:pPr>
        <w:ind w:firstLine="640"/>
      </w:pPr>
      <w:r>
        <w:rPr>
          <w:rFonts w:hint="eastAsia"/>
        </w:rPr>
        <w:t>（一）贯彻落实国家有关野外站建设和管理的方针政策；</w:t>
      </w:r>
    </w:p>
    <w:p>
      <w:pPr>
        <w:ind w:firstLine="640"/>
      </w:pPr>
      <w:r>
        <w:rPr>
          <w:rFonts w:hint="eastAsia"/>
        </w:rPr>
        <w:t>（二）编制和组织实施全市野外站的发展规划；</w:t>
      </w:r>
    </w:p>
    <w:p>
      <w:pPr>
        <w:ind w:firstLine="640"/>
      </w:pPr>
      <w:r>
        <w:rPr>
          <w:rFonts w:hint="eastAsia"/>
        </w:rPr>
        <w:t>（三）研究制定全市野外站的相关政策和规章制度，指导野外站的建设与运行；</w:t>
      </w:r>
    </w:p>
    <w:p>
      <w:pPr>
        <w:ind w:firstLine="640"/>
      </w:pPr>
      <w:r>
        <w:rPr>
          <w:rFonts w:hint="eastAsia"/>
        </w:rPr>
        <w:t>（四）组织开展重庆市野外站的申报、认定、评估、调整和撤销，推荐申报国家野外站；</w:t>
      </w:r>
    </w:p>
    <w:p>
      <w:pPr>
        <w:ind w:firstLine="640"/>
      </w:pPr>
      <w:r>
        <w:rPr>
          <w:rFonts w:hint="eastAsia"/>
        </w:rPr>
        <w:t>（五）组建重庆市野外站咨询委员会；</w:t>
      </w:r>
    </w:p>
    <w:p>
      <w:pPr>
        <w:ind w:firstLine="640"/>
      </w:pPr>
      <w:r>
        <w:rPr>
          <w:rFonts w:hint="eastAsia"/>
        </w:rPr>
        <w:t>（六）聘任野外站站长和学术委员会主任。</w:t>
      </w:r>
    </w:p>
    <w:p>
      <w:pPr>
        <w:ind w:firstLine="640"/>
      </w:pPr>
      <w:r>
        <w:rPr>
          <w:rFonts w:hint="eastAsia" w:eastAsia="方正黑体_GBK"/>
        </w:rPr>
        <w:t>第六条</w:t>
      </w:r>
      <w:r>
        <w:t xml:space="preserve">  </w:t>
      </w:r>
      <w:r>
        <w:rPr>
          <w:rFonts w:hint="eastAsia"/>
        </w:rPr>
        <w:t>市级有关部门、区县（自治县）科技管理部门是野外站的行业主管部门（以下简称主管部门），主要职责有：</w:t>
      </w:r>
    </w:p>
    <w:p>
      <w:pPr>
        <w:ind w:firstLine="640"/>
      </w:pPr>
      <w:r>
        <w:rPr>
          <w:rFonts w:hint="eastAsia"/>
        </w:rPr>
        <w:t>（一）贯彻重庆市野外站建设与运行管理的有关政策，支持野外站的建设与发展；</w:t>
      </w:r>
    </w:p>
    <w:p>
      <w:pPr>
        <w:ind w:firstLine="640"/>
      </w:pPr>
      <w:r>
        <w:rPr>
          <w:rFonts w:hint="eastAsia"/>
        </w:rPr>
        <w:t>（二）依据本办法制定本部门、本区县（自治县）野外站管理细则，指导野外站的建设与运行；</w:t>
      </w:r>
    </w:p>
    <w:p>
      <w:pPr>
        <w:ind w:firstLine="640"/>
      </w:pPr>
      <w:r>
        <w:rPr>
          <w:rFonts w:hint="eastAsia"/>
        </w:rPr>
        <w:t>（三）落实野外站建设运行期间所需的相关条件，协调解决相关重大问题；</w:t>
      </w:r>
    </w:p>
    <w:p>
      <w:pPr>
        <w:ind w:firstLine="640"/>
      </w:pPr>
      <w:r>
        <w:rPr>
          <w:rFonts w:hint="eastAsia"/>
        </w:rPr>
        <w:t>（四）组织并支持野外站开展联合协作观测与自主创新研究；</w:t>
      </w:r>
    </w:p>
    <w:p>
      <w:pPr>
        <w:ind w:firstLine="640"/>
      </w:pPr>
      <w:r>
        <w:rPr>
          <w:rFonts w:hint="eastAsia"/>
        </w:rPr>
        <w:t>（五）配合市科技局做好野外站申报、评估等相关工作，负责对野外站申报和评估材料、拟聘野外站站长和学术委员会主任、野外站变更事项进行审核。</w:t>
      </w:r>
    </w:p>
    <w:p>
      <w:pPr>
        <w:ind w:firstLine="640"/>
      </w:pPr>
      <w:r>
        <w:rPr>
          <w:rFonts w:hint="eastAsia" w:eastAsia="方正黑体_GBK"/>
        </w:rPr>
        <w:t>第七条</w:t>
      </w:r>
      <w:r>
        <w:t xml:space="preserve">  </w:t>
      </w:r>
      <w:r>
        <w:rPr>
          <w:rFonts w:hint="eastAsia"/>
        </w:rPr>
        <w:t>依托单位是野外站建设运行的实施主体和责任单位，主要职责有：</w:t>
      </w:r>
    </w:p>
    <w:p>
      <w:pPr>
        <w:ind w:firstLine="640"/>
      </w:pPr>
      <w:r>
        <w:rPr>
          <w:rFonts w:hint="eastAsia"/>
        </w:rPr>
        <w:t>（一）具体组织实施野外站建设，提供野外站运行经费、人员、场地、研究设备等相应条件保障，解决野外站建设与运行中的有关问题；</w:t>
      </w:r>
    </w:p>
    <w:p>
      <w:pPr>
        <w:ind w:firstLine="640"/>
      </w:pPr>
      <w:r>
        <w:rPr>
          <w:rFonts w:hint="eastAsia"/>
        </w:rPr>
        <w:t>（二）配置并健全野外站的研究、技术支撑和管理队伍；</w:t>
      </w:r>
    </w:p>
    <w:p>
      <w:pPr>
        <w:ind w:firstLine="640"/>
      </w:pPr>
      <w:r>
        <w:rPr>
          <w:rFonts w:hint="eastAsia"/>
        </w:rPr>
        <w:t>（三）制定支持野外站建设运行的政策措施，赋予野外站站长在内部岗位设置、科研活动组织、选人用人、绩效奖励等方面的自主权；</w:t>
      </w:r>
    </w:p>
    <w:p>
      <w:pPr>
        <w:ind w:firstLine="640"/>
      </w:pPr>
      <w:r>
        <w:rPr>
          <w:rFonts w:hint="eastAsia"/>
        </w:rPr>
        <w:t>（四）配合市科技局、市级有关部门和区县（自治县）科技管理部门做好野外站申报、评估等相关工作，审核相关材料的真实性和准确性；</w:t>
      </w:r>
    </w:p>
    <w:p>
      <w:pPr>
        <w:ind w:firstLine="640"/>
      </w:pPr>
      <w:r>
        <w:rPr>
          <w:rFonts w:hint="eastAsia"/>
        </w:rPr>
        <w:t>（五）组织选聘和推荐野外站站长，推荐学术委员会主任。</w:t>
      </w:r>
    </w:p>
    <w:p>
      <w:pPr>
        <w:ind w:firstLine="640"/>
      </w:pPr>
      <w:r>
        <w:rPr>
          <w:rFonts w:hint="eastAsia" w:eastAsia="方正黑体_GBK"/>
        </w:rPr>
        <w:t>第八条</w:t>
      </w:r>
      <w:r>
        <w:t xml:space="preserve">  </w:t>
      </w:r>
      <w:r>
        <w:rPr>
          <w:rFonts w:hint="eastAsia"/>
        </w:rPr>
        <w:t>重庆市野外站咨询委员会是野外站建设和发展的咨询机构，由学术水平高、责任心强的科研一线科学家及管理专家组成，任职年龄一般不超过</w:t>
      </w:r>
      <w:r>
        <w:t>70</w:t>
      </w:r>
      <w:r>
        <w:rPr>
          <w:rFonts w:hint="eastAsia"/>
        </w:rPr>
        <w:t>周岁，每届任期</w:t>
      </w:r>
      <w:r>
        <w:t>5</w:t>
      </w:r>
      <w:r>
        <w:rPr>
          <w:rFonts w:hint="eastAsia"/>
        </w:rPr>
        <w:t>年，每次换届应更换</w:t>
      </w:r>
      <w:r>
        <w:t>1/3</w:t>
      </w:r>
      <w:r>
        <w:rPr>
          <w:rFonts w:hint="eastAsia"/>
        </w:rPr>
        <w:t>以上成员，主要职责有：</w:t>
      </w:r>
    </w:p>
    <w:p>
      <w:pPr>
        <w:ind w:firstLine="640"/>
      </w:pPr>
      <w:r>
        <w:rPr>
          <w:rFonts w:hint="eastAsia"/>
        </w:rPr>
        <w:t>（一）对野外站发展规划、布局和建设方案提供咨询；</w:t>
      </w:r>
    </w:p>
    <w:p>
      <w:pPr>
        <w:ind w:firstLine="640"/>
      </w:pPr>
      <w:r>
        <w:rPr>
          <w:rFonts w:hint="eastAsia"/>
        </w:rPr>
        <w:t>（二）对野外站重大调整、定期评估等工作进行咨询；</w:t>
      </w:r>
    </w:p>
    <w:p>
      <w:pPr>
        <w:ind w:firstLine="640"/>
      </w:pPr>
      <w:r>
        <w:rPr>
          <w:rFonts w:hint="eastAsia"/>
        </w:rPr>
        <w:t>（三）对野外站专项观测、领域协作观测研究等进行咨询；</w:t>
      </w:r>
    </w:p>
    <w:p>
      <w:pPr>
        <w:ind w:firstLine="640"/>
      </w:pPr>
      <w:r>
        <w:rPr>
          <w:rFonts w:hint="eastAsia"/>
        </w:rPr>
        <w:t>（四）对野外站科研诚信建设进行监督指导。</w:t>
      </w:r>
    </w:p>
    <w:p>
      <w:pPr>
        <w:ind w:firstLine="640"/>
        <w:rPr>
          <w:rFonts w:hint="eastAsia"/>
        </w:rPr>
      </w:pPr>
    </w:p>
    <w:p>
      <w:pPr>
        <w:pStyle w:val="50"/>
      </w:pPr>
      <w:r>
        <w:rPr>
          <w:rFonts w:hint="eastAsia"/>
        </w:rPr>
        <w:t>第三章</w:t>
      </w:r>
      <w:r>
        <w:t xml:space="preserve">  </w:t>
      </w:r>
      <w:r>
        <w:rPr>
          <w:rFonts w:hint="eastAsia"/>
        </w:rPr>
        <w:t>申请与认定</w:t>
      </w:r>
    </w:p>
    <w:p>
      <w:pPr>
        <w:ind w:firstLine="640"/>
        <w:rPr>
          <w:rFonts w:hint="eastAsia"/>
        </w:rPr>
      </w:pPr>
    </w:p>
    <w:p>
      <w:pPr>
        <w:ind w:firstLine="640"/>
      </w:pPr>
      <w:r>
        <w:rPr>
          <w:rFonts w:hint="eastAsia" w:eastAsia="方正黑体_GBK"/>
        </w:rPr>
        <w:t>第九条</w:t>
      </w:r>
      <w:r>
        <w:t xml:space="preserve">  </w:t>
      </w:r>
      <w:r>
        <w:rPr>
          <w:rFonts w:hint="eastAsia"/>
        </w:rPr>
        <w:t>市科技局根据重庆市科技创新与经济社会持续发展需求，有计划、有重点的择优建设野外站。</w:t>
      </w:r>
    </w:p>
    <w:p>
      <w:pPr>
        <w:ind w:firstLine="640"/>
      </w:pPr>
      <w:r>
        <w:rPr>
          <w:rFonts w:hint="eastAsia" w:eastAsia="方正黑体_GBK"/>
        </w:rPr>
        <w:t>第十条</w:t>
      </w:r>
      <w:r>
        <w:t xml:space="preserve">  </w:t>
      </w:r>
      <w:r>
        <w:rPr>
          <w:rFonts w:hint="eastAsia"/>
        </w:rPr>
        <w:t>申请建设重庆市野外站，应满足下列基本条件：</w:t>
      </w:r>
    </w:p>
    <w:p>
      <w:pPr>
        <w:ind w:firstLine="640"/>
      </w:pPr>
      <w:r>
        <w:rPr>
          <w:rFonts w:hint="eastAsia"/>
        </w:rPr>
        <w:t>（一）依托单位是在渝高等院校、科研院所、企业或其他具有原始创新能力的独立法人机构，保证每年为野外站建设发展提供不低于</w:t>
      </w:r>
      <w:r>
        <w:t>20</w:t>
      </w:r>
      <w:r>
        <w:rPr>
          <w:rFonts w:hint="eastAsia"/>
        </w:rPr>
        <w:t>万元的运行经费，支持野外站的数据观测、日常运行和设备购置等；</w:t>
      </w:r>
    </w:p>
    <w:p>
      <w:pPr>
        <w:ind w:firstLine="640"/>
      </w:pPr>
      <w:r>
        <w:rPr>
          <w:rFonts w:hint="eastAsia"/>
        </w:rPr>
        <w:t>（二）面向重庆市战略需求和学科长远发展需求，遵循科技发展总体规划和自然环境分异规律，具有典型区域代表性或领域代表性；</w:t>
      </w:r>
    </w:p>
    <w:p>
      <w:pPr>
        <w:ind w:firstLine="640"/>
      </w:pPr>
      <w:r>
        <w:rPr>
          <w:rFonts w:hint="eastAsia"/>
        </w:rPr>
        <w:t>（三）具有良好的科研实验和观测条件，具备对相关领域关键要素进行观测和实验的仪器和设施，科研仪器设备总值</w:t>
      </w:r>
      <w:r>
        <w:t>300</w:t>
      </w:r>
      <w:r>
        <w:rPr>
          <w:rFonts w:hint="eastAsia"/>
        </w:rPr>
        <w:t>万元以上，科研集中用房面积</w:t>
      </w:r>
      <w:r>
        <w:t>200</w:t>
      </w:r>
      <w:r>
        <w:rPr>
          <w:rFonts w:hint="eastAsia"/>
        </w:rPr>
        <w:t>平方米以上；</w:t>
      </w:r>
    </w:p>
    <w:p>
      <w:pPr>
        <w:ind w:firstLine="640"/>
      </w:pPr>
      <w:r>
        <w:rPr>
          <w:rFonts w:hint="eastAsia"/>
        </w:rPr>
        <w:t>（四）观测实验场地、基础设施用地应有土地使用权证或具有未来</w:t>
      </w:r>
      <w:r>
        <w:t>30</w:t>
      </w:r>
      <w:r>
        <w:rPr>
          <w:rFonts w:hint="eastAsia"/>
        </w:rPr>
        <w:t>年以上的土地使用证明；</w:t>
      </w:r>
    </w:p>
    <w:p>
      <w:pPr>
        <w:ind w:firstLine="640"/>
      </w:pPr>
      <w:r>
        <w:rPr>
          <w:rFonts w:hint="eastAsia"/>
        </w:rPr>
        <w:t>（五）已正常运行</w:t>
      </w:r>
      <w:r>
        <w:t>5</w:t>
      </w:r>
      <w:r>
        <w:rPr>
          <w:rFonts w:hint="eastAsia"/>
        </w:rPr>
        <w:t>年以上，并具有连续</w:t>
      </w:r>
      <w:r>
        <w:t>5</w:t>
      </w:r>
      <w:r>
        <w:rPr>
          <w:rFonts w:hint="eastAsia"/>
        </w:rPr>
        <w:t>年以上的系统性观测实验数据；</w:t>
      </w:r>
    </w:p>
    <w:p>
      <w:pPr>
        <w:ind w:firstLine="640"/>
      </w:pPr>
      <w:r>
        <w:rPr>
          <w:rFonts w:hint="eastAsia"/>
        </w:rPr>
        <w:t>（六）具有较高的科学观测和实验研究水平，有能力承担国家和省部级科研任务；</w:t>
      </w:r>
    </w:p>
    <w:p>
      <w:pPr>
        <w:ind w:firstLine="640"/>
      </w:pPr>
      <w:r>
        <w:rPr>
          <w:rFonts w:hint="eastAsia"/>
          <w:iCs/>
        </w:rPr>
        <w:t>（七）具有结构合理的高水平研究、技术支撑和管理团队，</w:t>
      </w:r>
      <w:r>
        <w:rPr>
          <w:rFonts w:hint="eastAsia"/>
        </w:rPr>
        <w:t>固定人员总数</w:t>
      </w:r>
      <w:r>
        <w:t>10</w:t>
      </w:r>
      <w:r>
        <w:rPr>
          <w:rFonts w:hint="eastAsia"/>
        </w:rPr>
        <w:t>人以上；</w:t>
      </w:r>
    </w:p>
    <w:p>
      <w:pPr>
        <w:ind w:firstLine="640"/>
      </w:pPr>
      <w:r>
        <w:rPr>
          <w:rFonts w:hint="eastAsia"/>
        </w:rPr>
        <w:t>（八）在遵守国家保密规定前提下，承诺野外站的观测和实验数据、仪器设备设施等科技资源按相关规定进行开放共享。</w:t>
      </w:r>
    </w:p>
    <w:p>
      <w:pPr>
        <w:ind w:firstLine="640"/>
      </w:pPr>
      <w:r>
        <w:rPr>
          <w:rFonts w:hint="eastAsia" w:eastAsia="方正黑体_GBK"/>
        </w:rPr>
        <w:t>第十一条</w:t>
      </w:r>
      <w:r>
        <w:t xml:space="preserve">   </w:t>
      </w:r>
      <w:r>
        <w:rPr>
          <w:rFonts w:hint="eastAsia"/>
        </w:rPr>
        <w:t>新建重庆市野外站由依托单位提出申请，填写《重庆市野外科学观测研究站申请书》，经主管部门审核后报市科技局。</w:t>
      </w:r>
    </w:p>
    <w:p>
      <w:pPr>
        <w:ind w:firstLine="640"/>
      </w:pPr>
      <w:r>
        <w:rPr>
          <w:rFonts w:hint="eastAsia" w:eastAsia="方正黑体_GBK"/>
        </w:rPr>
        <w:t>第十二条</w:t>
      </w:r>
      <w:r>
        <w:t xml:space="preserve">  </w:t>
      </w:r>
      <w:r>
        <w:rPr>
          <w:rFonts w:hint="eastAsia"/>
        </w:rPr>
        <w:t>市科技局对申报材料进行形式审查，组织专家或委托第三方机构进行评审，并根据评审意见进行择优认定和授牌。</w:t>
      </w:r>
    </w:p>
    <w:p>
      <w:pPr>
        <w:ind w:firstLine="640"/>
      </w:pPr>
    </w:p>
    <w:p>
      <w:pPr>
        <w:pStyle w:val="50"/>
      </w:pPr>
      <w:r>
        <w:rPr>
          <w:rFonts w:hint="eastAsia"/>
        </w:rPr>
        <w:t>第四章</w:t>
      </w:r>
      <w:r>
        <w:t xml:space="preserve">  </w:t>
      </w:r>
      <w:r>
        <w:rPr>
          <w:rFonts w:hint="eastAsia"/>
        </w:rPr>
        <w:t>运行与管理</w:t>
      </w:r>
    </w:p>
    <w:p>
      <w:pPr>
        <w:ind w:firstLine="640"/>
        <w:rPr>
          <w:rFonts w:hint="eastAsia"/>
        </w:rPr>
      </w:pPr>
    </w:p>
    <w:p>
      <w:pPr>
        <w:ind w:firstLine="640"/>
      </w:pPr>
      <w:r>
        <w:rPr>
          <w:rFonts w:hint="eastAsia" w:eastAsia="方正黑体_GBK"/>
        </w:rPr>
        <w:t>第十三条</w:t>
      </w:r>
      <w:r>
        <w:t xml:space="preserve">  </w:t>
      </w:r>
      <w:r>
        <w:rPr>
          <w:rFonts w:hint="eastAsia"/>
        </w:rPr>
        <w:t>野外站实行依托单位领导下的站长负责制。野外站站长由依托单位组织选聘和推荐，经主管部门审核后报市科技局聘任。</w:t>
      </w:r>
    </w:p>
    <w:p>
      <w:pPr>
        <w:ind w:firstLine="640"/>
      </w:pPr>
      <w:r>
        <w:rPr>
          <w:rFonts w:hint="eastAsia" w:eastAsia="方正黑体_GBK"/>
        </w:rPr>
        <w:t>第十四条</w:t>
      </w:r>
      <w:r>
        <w:t xml:space="preserve">  </w:t>
      </w:r>
      <w:r>
        <w:rPr>
          <w:rFonts w:hint="eastAsia"/>
        </w:rPr>
        <w:t>野外站站长由依托单位在职人员担任，应是本领域高水平的学术带头人，具有较强的组织管理和协调能力、科研诚信记录良好，任职年龄一般不超过</w:t>
      </w:r>
      <w:r>
        <w:t>60</w:t>
      </w:r>
      <w:r>
        <w:rPr>
          <w:rFonts w:hint="eastAsia"/>
        </w:rPr>
        <w:t>周岁，每届任期为</w:t>
      </w:r>
      <w:r>
        <w:t>5</w:t>
      </w:r>
      <w:r>
        <w:rPr>
          <w:rFonts w:hint="eastAsia"/>
        </w:rPr>
        <w:t>年，主要负责野外站的科学研究、人才培养和日常管理等工作。</w:t>
      </w:r>
    </w:p>
    <w:p>
      <w:pPr>
        <w:ind w:firstLine="640"/>
      </w:pPr>
      <w:r>
        <w:rPr>
          <w:rFonts w:hint="eastAsia" w:eastAsia="方正黑体_GBK"/>
        </w:rPr>
        <w:t>第十五条</w:t>
      </w:r>
      <w:r>
        <w:t xml:space="preserve">  </w:t>
      </w:r>
      <w:r>
        <w:rPr>
          <w:rFonts w:hint="eastAsia"/>
        </w:rPr>
        <w:t>野外站应成立学术委员会，其职责是审议野外站的发展方向、观测实验研究目标、重要学术进展、年度工作报告、科研诚信建设及其他重要事项。</w:t>
      </w:r>
    </w:p>
    <w:p>
      <w:pPr>
        <w:ind w:firstLine="640"/>
      </w:pPr>
      <w:r>
        <w:rPr>
          <w:rFonts w:hint="eastAsia" w:eastAsia="方正黑体_GBK"/>
        </w:rPr>
        <w:t>第十六条</w:t>
      </w:r>
      <w:r>
        <w:t xml:space="preserve">  </w:t>
      </w:r>
      <w:r>
        <w:rPr>
          <w:rFonts w:hint="eastAsia"/>
        </w:rPr>
        <w:t>学术委员会由国内外科研一线优秀科学家和监测领域专家组成，人数不超过</w:t>
      </w:r>
      <w:r>
        <w:t>11</w:t>
      </w:r>
      <w:r>
        <w:rPr>
          <w:rFonts w:hint="eastAsia"/>
        </w:rPr>
        <w:t>人，其中依托单位人员不超过</w:t>
      </w:r>
      <w:r>
        <w:t>1/3</w:t>
      </w:r>
      <w:r>
        <w:rPr>
          <w:rFonts w:hint="eastAsia"/>
        </w:rPr>
        <w:t>；每届任期</w:t>
      </w:r>
      <w:r>
        <w:t>5</w:t>
      </w:r>
      <w:r>
        <w:rPr>
          <w:rFonts w:hint="eastAsia"/>
        </w:rPr>
        <w:t>年，每次换届应更换</w:t>
      </w:r>
      <w:r>
        <w:t>1/3</w:t>
      </w:r>
      <w:r>
        <w:rPr>
          <w:rFonts w:hint="eastAsia"/>
        </w:rPr>
        <w:t>以上成员；学术委员会会议每年至少召开</w:t>
      </w:r>
      <w:r>
        <w:t>1</w:t>
      </w:r>
      <w:r>
        <w:rPr>
          <w:rFonts w:hint="eastAsia"/>
        </w:rPr>
        <w:t>次，每次实到人数不少于</w:t>
      </w:r>
      <w:r>
        <w:t>2/3</w:t>
      </w:r>
      <w:r>
        <w:rPr>
          <w:rFonts w:hint="eastAsia"/>
        </w:rPr>
        <w:t>，并形成会议纪要，报主管部门和市科技局备案。</w:t>
      </w:r>
    </w:p>
    <w:p>
      <w:pPr>
        <w:ind w:firstLine="640"/>
      </w:pPr>
      <w:r>
        <w:rPr>
          <w:rFonts w:hint="eastAsia" w:eastAsia="方正黑体_GBK"/>
        </w:rPr>
        <w:t>第十七条</w:t>
      </w:r>
      <w:r>
        <w:t xml:space="preserve">  </w:t>
      </w:r>
      <w:r>
        <w:rPr>
          <w:rFonts w:hint="eastAsia"/>
        </w:rPr>
        <w:t>野外站应建设和稳定一支结构合理的研究、技术支撑和管理队伍，注重学术梯队建设，积极开展国内外合作研究与学术交流。</w:t>
      </w:r>
    </w:p>
    <w:p>
      <w:pPr>
        <w:ind w:firstLine="640"/>
      </w:pPr>
      <w:r>
        <w:rPr>
          <w:rFonts w:hint="eastAsia" w:eastAsia="方正黑体_GBK"/>
        </w:rPr>
        <w:t>第十八条</w:t>
      </w:r>
      <w:r>
        <w:t xml:space="preserve">  </w:t>
      </w:r>
      <w:r>
        <w:rPr>
          <w:rFonts w:hint="eastAsia"/>
        </w:rPr>
        <w:t>野外站应重视和加强运行管理，建立健全内部规章制度。应加强站务公开，重大事项决策公开透明。严格遵守国家有关保密规定。</w:t>
      </w:r>
    </w:p>
    <w:p>
      <w:pPr>
        <w:ind w:firstLine="640"/>
      </w:pPr>
      <w:r>
        <w:rPr>
          <w:rFonts w:hint="eastAsia" w:eastAsia="方正黑体_GBK"/>
        </w:rPr>
        <w:t>第十九条</w:t>
      </w:r>
      <w:r>
        <w:t xml:space="preserve">  </w:t>
      </w:r>
      <w:r>
        <w:rPr>
          <w:rFonts w:hint="eastAsia"/>
        </w:rPr>
        <w:t>野外站应加强知识产权保护，在野外站完成的数据库、专著、论文、软件等研究成果，应标注重庆市野外科学观测研究站名称。利用野外站观测数据、实验设施等科技资源完成的成果，应明确标注来源。</w:t>
      </w:r>
    </w:p>
    <w:p>
      <w:pPr>
        <w:ind w:firstLine="640"/>
      </w:pPr>
      <w:r>
        <w:rPr>
          <w:rFonts w:hint="eastAsia" w:eastAsia="方正黑体_GBK"/>
        </w:rPr>
        <w:t>第二十条</w:t>
      </w:r>
      <w:r>
        <w:t xml:space="preserve">  </w:t>
      </w:r>
      <w:r>
        <w:rPr>
          <w:rFonts w:hint="eastAsia"/>
        </w:rPr>
        <w:t>野外站应加强科技资源开放共享，野外站的单台（套）原值</w:t>
      </w:r>
      <w:r>
        <w:t>20</w:t>
      </w:r>
      <w:r>
        <w:rPr>
          <w:rFonts w:hint="eastAsia"/>
        </w:rPr>
        <w:t>万元以上的大型科研仪器设备应按相关规定纳入重庆科技资源共享平台，面向社会开放服务。</w:t>
      </w:r>
    </w:p>
    <w:p>
      <w:pPr>
        <w:ind w:firstLine="640"/>
      </w:pPr>
      <w:r>
        <w:rPr>
          <w:rFonts w:hint="eastAsia" w:eastAsia="方正黑体_GBK"/>
        </w:rPr>
        <w:t>第二十一条</w:t>
      </w:r>
      <w:r>
        <w:t xml:space="preserve">  </w:t>
      </w:r>
      <w:r>
        <w:rPr>
          <w:rFonts w:hint="eastAsia"/>
        </w:rPr>
        <w:t>野外站应开展科学普及和社会服务，向社会公众开放。鼓励野外站与国内外高等院校、科研院所等单位共建教学、实习、人才培养与科研基地，与地方政府或社会团体联合建设科普基地。</w:t>
      </w:r>
    </w:p>
    <w:p>
      <w:pPr>
        <w:ind w:firstLine="640"/>
      </w:pPr>
      <w:r>
        <w:rPr>
          <w:rFonts w:hint="eastAsia" w:eastAsia="方正黑体_GBK"/>
        </w:rPr>
        <w:t>第二十二条</w:t>
      </w:r>
      <w:r>
        <w:t xml:space="preserve">  </w:t>
      </w:r>
      <w:r>
        <w:rPr>
          <w:rFonts w:hint="eastAsia"/>
        </w:rPr>
        <w:t>野外站应坚守科研诚信、恪守学术道德、重视学风建设，弘扬扎根基层、吃苦耐劳、团结协作、求真务实、开拓创新的科研精神。</w:t>
      </w:r>
    </w:p>
    <w:p>
      <w:pPr>
        <w:ind w:firstLine="640"/>
      </w:pPr>
      <w:r>
        <w:rPr>
          <w:rFonts w:hint="eastAsia" w:eastAsia="方正黑体_GBK"/>
        </w:rPr>
        <w:t>第二十三条</w:t>
      </w:r>
      <w:r>
        <w:t xml:space="preserve">  </w:t>
      </w:r>
      <w:r>
        <w:rPr>
          <w:rFonts w:hint="eastAsia"/>
        </w:rPr>
        <w:t>野外站变更站址、名称、站长、研究方向的，须经学术委员会审议，由依托单位提出书面报告，经主管部门审核后报市科技局核准。</w:t>
      </w:r>
    </w:p>
    <w:p>
      <w:pPr>
        <w:ind w:firstLine="640"/>
      </w:pPr>
      <w:r>
        <w:rPr>
          <w:rFonts w:hint="eastAsia" w:eastAsia="方正黑体_GBK"/>
        </w:rPr>
        <w:t>第二十四条</w:t>
      </w:r>
      <w:r>
        <w:t xml:space="preserve">  </w:t>
      </w:r>
      <w:r>
        <w:rPr>
          <w:rFonts w:hint="eastAsia"/>
        </w:rPr>
        <w:t>市级科技发展专项资金每年给予每个国家野外站</w:t>
      </w:r>
      <w:r>
        <w:t>50</w:t>
      </w:r>
      <w:r>
        <w:rPr>
          <w:rFonts w:hint="eastAsia"/>
        </w:rPr>
        <w:t>万元、重庆市野外站</w:t>
      </w:r>
      <w:r>
        <w:t>10</w:t>
      </w:r>
      <w:r>
        <w:rPr>
          <w:rFonts w:hint="eastAsia"/>
        </w:rPr>
        <w:t>万元的稳定支持经费，主要用于野外站科研人员绩效奖励、观测研究、设备维护等。</w:t>
      </w:r>
    </w:p>
    <w:p>
      <w:pPr>
        <w:ind w:firstLine="640"/>
        <w:rPr>
          <w:rFonts w:hint="eastAsia"/>
        </w:rPr>
      </w:pPr>
    </w:p>
    <w:p>
      <w:pPr>
        <w:pStyle w:val="50"/>
      </w:pPr>
      <w:r>
        <w:rPr>
          <w:rFonts w:hint="eastAsia"/>
        </w:rPr>
        <w:t>第五章</w:t>
      </w:r>
      <w:r>
        <w:t xml:space="preserve">  </w:t>
      </w:r>
      <w:r>
        <w:rPr>
          <w:rFonts w:hint="eastAsia"/>
        </w:rPr>
        <w:t>考核评估</w:t>
      </w:r>
    </w:p>
    <w:p>
      <w:pPr>
        <w:ind w:firstLine="640"/>
        <w:rPr>
          <w:rFonts w:hint="eastAsia"/>
        </w:rPr>
      </w:pPr>
    </w:p>
    <w:p>
      <w:pPr>
        <w:ind w:firstLine="640"/>
      </w:pPr>
      <w:r>
        <w:rPr>
          <w:rFonts w:hint="eastAsia" w:eastAsia="方正黑体_GBK"/>
        </w:rPr>
        <w:t>第二十五条</w:t>
      </w:r>
      <w:r>
        <w:t xml:space="preserve">  </w:t>
      </w:r>
      <w:r>
        <w:rPr>
          <w:rFonts w:hint="eastAsia"/>
        </w:rPr>
        <w:t>各野外站应在每年</w:t>
      </w:r>
      <w:r>
        <w:t>4</w:t>
      </w:r>
      <w:r>
        <w:rPr>
          <w:rFonts w:hint="eastAsia"/>
        </w:rPr>
        <w:t>月</w:t>
      </w:r>
      <w:r>
        <w:t>20</w:t>
      </w:r>
      <w:r>
        <w:rPr>
          <w:rFonts w:hint="eastAsia"/>
        </w:rPr>
        <w:t>日前向主管部门和市科技局提交上年度工作总结，作为野外站考核评估的重要条件。</w:t>
      </w:r>
    </w:p>
    <w:p>
      <w:pPr>
        <w:ind w:firstLine="640"/>
      </w:pPr>
      <w:r>
        <w:rPr>
          <w:rFonts w:hint="eastAsia" w:eastAsia="方正黑体_GBK"/>
        </w:rPr>
        <w:t>第二十六条</w:t>
      </w:r>
      <w:r>
        <w:t xml:space="preserve">  </w:t>
      </w:r>
      <w:r>
        <w:rPr>
          <w:rFonts w:hint="eastAsia"/>
        </w:rPr>
        <w:t>市级科技发展专项资金根据野外站考核评估结果为野外站提供一定的激励经费，主要用于野外站科研人员绩效奖励、观测研究等。</w:t>
      </w:r>
    </w:p>
    <w:p>
      <w:pPr>
        <w:ind w:firstLine="640"/>
      </w:pPr>
      <w:r>
        <w:rPr>
          <w:rFonts w:hint="eastAsia"/>
        </w:rPr>
        <w:t>（一）根据科技部每轮评估结果给予国家野外站一次性激励经费支持。评估结果优秀的国家野外站每个给予</w:t>
      </w:r>
      <w:r>
        <w:t>100</w:t>
      </w:r>
      <w:r>
        <w:rPr>
          <w:rFonts w:hint="eastAsia"/>
        </w:rPr>
        <w:t>万元，良好的每个给予</w:t>
      </w:r>
      <w:r>
        <w:t>50</w:t>
      </w:r>
      <w:r>
        <w:rPr>
          <w:rFonts w:hint="eastAsia"/>
        </w:rPr>
        <w:t>万元激励经费；</w:t>
      </w:r>
    </w:p>
    <w:p>
      <w:pPr>
        <w:ind w:firstLine="640"/>
      </w:pPr>
      <w:r>
        <w:rPr>
          <w:rFonts w:hint="eastAsia"/>
        </w:rPr>
        <w:t>（二）重庆市野外站由市科技局组织专家或委托第三方机构进行考核评估。评估结果分优秀、合格、不合格</w:t>
      </w:r>
      <w:r>
        <w:t>3</w:t>
      </w:r>
      <w:r>
        <w:rPr>
          <w:rFonts w:hint="eastAsia"/>
        </w:rPr>
        <w:t>个等级。每</w:t>
      </w:r>
      <w:r>
        <w:t>3</w:t>
      </w:r>
      <w:r>
        <w:rPr>
          <w:rFonts w:hint="eastAsia"/>
        </w:rPr>
        <w:t>年为一个评估周期，每轮评估结果优秀的野外站一次性给予</w:t>
      </w:r>
      <w:r>
        <w:t>20</w:t>
      </w:r>
      <w:r>
        <w:rPr>
          <w:rFonts w:hint="eastAsia"/>
        </w:rPr>
        <w:t>万元激励经费；评估结果合格的保留其资格；评估结果不合格的停止稳定经费支持，限期半年整改，整改后验收仍不合格的，不再列入重庆市野外站序列。无正当理由不参加评估、中途退出评估的野外站，经依托单位和主管部门审核情况属实，市科技局有权决定撤销其资格，且</w:t>
      </w:r>
      <w:r>
        <w:t>2</w:t>
      </w:r>
      <w:r>
        <w:rPr>
          <w:rFonts w:hint="eastAsia"/>
        </w:rPr>
        <w:t>年内不得申报重庆市野外站。</w:t>
      </w:r>
    </w:p>
    <w:p>
      <w:pPr>
        <w:ind w:firstLine="640"/>
        <w:rPr>
          <w:rFonts w:hint="eastAsia"/>
        </w:rPr>
      </w:pPr>
    </w:p>
    <w:p>
      <w:pPr>
        <w:pStyle w:val="50"/>
      </w:pPr>
      <w:r>
        <w:rPr>
          <w:rFonts w:hint="eastAsia"/>
        </w:rPr>
        <w:t>第六章</w:t>
      </w:r>
      <w:r>
        <w:t xml:space="preserve">  </w:t>
      </w:r>
      <w:r>
        <w:rPr>
          <w:rFonts w:hint="eastAsia"/>
        </w:rPr>
        <w:t>附</w:t>
      </w:r>
      <w:r>
        <w:t xml:space="preserve">  </w:t>
      </w:r>
      <w:r>
        <w:rPr>
          <w:rFonts w:hint="eastAsia"/>
        </w:rPr>
        <w:t>则</w:t>
      </w:r>
    </w:p>
    <w:p>
      <w:pPr>
        <w:ind w:firstLine="640"/>
        <w:rPr>
          <w:rFonts w:hint="eastAsia"/>
        </w:rPr>
      </w:pPr>
    </w:p>
    <w:p>
      <w:pPr>
        <w:ind w:firstLine="640"/>
      </w:pPr>
      <w:r>
        <w:rPr>
          <w:rFonts w:hint="eastAsia" w:eastAsia="方正黑体_GBK"/>
        </w:rPr>
        <w:t>第二十七条</w:t>
      </w:r>
      <w:r>
        <w:t xml:space="preserve">  </w:t>
      </w:r>
      <w:r>
        <w:rPr>
          <w:rFonts w:hint="eastAsia"/>
        </w:rPr>
        <w:t>重庆市野外站统一命名为“地名</w:t>
      </w:r>
      <w:r>
        <w:t>+</w:t>
      </w:r>
      <w:r>
        <w:rPr>
          <w:rFonts w:hint="eastAsia"/>
        </w:rPr>
        <w:t>领域（学科）</w:t>
      </w:r>
      <w:r>
        <w:t>+</w:t>
      </w:r>
      <w:r>
        <w:rPr>
          <w:rFonts w:hint="eastAsia"/>
        </w:rPr>
        <w:t>重庆市野外科学观测研究站”，英文名称为“</w:t>
      </w:r>
      <w:r>
        <w:t>Address</w:t>
      </w:r>
      <w:r>
        <w:rPr>
          <w:rFonts w:hint="eastAsia"/>
        </w:rPr>
        <w:t>，</w:t>
      </w:r>
      <w:r>
        <w:t xml:space="preserve">Research Field </w:t>
      </w:r>
      <w:r>
        <w:rPr>
          <w:rFonts w:hint="eastAsia"/>
        </w:rPr>
        <w:t>（</w:t>
      </w:r>
      <w:r>
        <w:t>Discipline</w:t>
      </w:r>
      <w:r>
        <w:rPr>
          <w:rFonts w:hint="eastAsia"/>
        </w:rPr>
        <w:t>），</w:t>
      </w:r>
      <w:r>
        <w:t>Chongqing Observation and Research Station</w:t>
      </w:r>
      <w:r>
        <w:rPr>
          <w:rFonts w:hint="eastAsia"/>
        </w:rPr>
        <w:t>”。例如，万盛矿区生态环境保护修复重庆市野外科学观测研究站，</w:t>
      </w:r>
      <w:r>
        <w:t>Wansheng Mining Area Ecological Environment Protection and Restoration of Chongqing Observation and Research Station</w:t>
      </w:r>
      <w:r>
        <w:rPr>
          <w:rFonts w:hint="eastAsia"/>
        </w:rPr>
        <w:t>。</w:t>
      </w:r>
    </w:p>
    <w:p>
      <w:pPr>
        <w:ind w:firstLine="640"/>
        <w:rPr>
          <w:rFonts w:hint="eastAsia"/>
        </w:rPr>
      </w:pPr>
      <w:r>
        <w:rPr>
          <w:rFonts w:hint="eastAsia" w:eastAsia="方正黑体_GBK"/>
        </w:rPr>
        <w:t>第二十八条</w:t>
      </w:r>
      <w:r>
        <w:t xml:space="preserve">  </w:t>
      </w:r>
      <w:r>
        <w:rPr>
          <w:rFonts w:hint="eastAsia"/>
        </w:rPr>
        <w:t>本办法由市科技局负责解释，自发布之日起施行。</w:t>
      </w:r>
    </w:p>
    <w:sectPr>
      <w:headerReference r:id="rId7" w:type="first"/>
      <w:footerReference r:id="rId10" w:type="first"/>
      <w:headerReference r:id="rId5" w:type="default"/>
      <w:footerReference r:id="rId8" w:type="default"/>
      <w:headerReference r:id="rId6" w:type="even"/>
      <w:footerReference r:id="rId9" w:type="even"/>
      <w:pgSz w:w="11906" w:h="16838"/>
      <w:pgMar w:top="1962" w:right="1474" w:bottom="1848" w:left="1587" w:header="851" w:footer="992" w:gutter="0"/>
      <w:pgNumType w:fmt="numberInDash" w:start="1"/>
      <w:cols w:space="0" w:num="1"/>
      <w:docGrid w:type="lines" w:linePitch="31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Arial Narrow">
    <w:panose1 w:val="020B0606020202030204"/>
    <w:charset w:val="00"/>
    <w:family w:val="swiss"/>
    <w:pitch w:val="default"/>
    <w:sig w:usb0="00000287" w:usb1="000008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7296" w:leftChars="2280" w:firstLine="6400" w:firstLineChars="200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firstLine="56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- 9 -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ind w:firstLine="56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- 9 -</w:t>
                    </w:r>
                    <w:r>
                      <w:rPr>
                        <w:rFonts w:hint="eastAsia" w:ascii="宋体" w:hAnsi="宋体" w:eastAsia="宋体" w:cs="宋体"/>
                        <w:sz w:val="28"/>
                        <w:szCs w:val="28"/>
                      </w:rPr>
                      <w:fldChar w:fldCharType="end"/>
                    </w:r>
                  </w:p>
                </w:txbxContent>
              </v:textbox>
            </v:shape>
          </w:pict>
        </mc:Fallback>
      </mc:AlternateContent>
    </w:r>
  </w:p>
  <w:p>
    <w:pPr>
      <w:ind w:left="7296" w:leftChars="2280" w:firstLine="6400" w:firstLineChars="2000"/>
    </w:pPr>
    <w:r>
      <w:rPr>
        <w:color w:val="FAFAFA"/>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140335</wp:posOffset>
              </wp:positionV>
              <wp:extent cx="561594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61600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442.2pt;z-index:251660288;mso-width-relative:page;mso-height-relative:page;" filled="f" stroked="t" coordsize="21600,21600" o:gfxdata="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FWGuU1QAA&#10;AAgBAAAPAAAAAAAAAAEAIAAAACIAAABkcnMvZG93bnJldi54bWxQSwECFAAUAAAACACHTuJA9IWM&#10;q+gBAAC0AwAADgAAAAAAAAABACAAAAAkAQAAZHJzL2Uyb0RvYy54bWxQSwUGAAAAAAYABgBZAQAA&#10;fgUAAAAA&#10;">
              <v:fill on="f" focussize="0,0"/>
              <v:stroke weight="1.75pt" color="#005192 [3204]" miterlimit="8" joinstyle="miter"/>
              <v:imagedata o:title=""/>
              <o:lock v:ext="edit" aspectratio="f"/>
            </v:line>
          </w:pict>
        </mc:Fallback>
      </mc:AlternateContent>
    </w:r>
  </w:p>
  <w:p>
    <w:pPr>
      <w:wordWrap w:val="0"/>
      <w:ind w:firstLine="562"/>
      <w:jc w:val="right"/>
      <w:rPr>
        <w:rFonts w:ascii="宋体" w:hAnsi="宋体" w:eastAsia="宋体" w:cs="宋体"/>
        <w:b/>
        <w:bCs/>
        <w:color w:val="005192"/>
        <w:sz w:val="28"/>
        <w:szCs w:val="44"/>
      </w:rPr>
    </w:pPr>
    <w:r>
      <w:rPr>
        <w:rFonts w:hint="eastAsia" w:ascii="宋体" w:hAnsi="宋体" w:eastAsia="宋体" w:cs="宋体"/>
        <w:b/>
        <w:bCs/>
        <w:color w:val="005192"/>
        <w:sz w:val="28"/>
        <w:szCs w:val="44"/>
        <w:lang w:eastAsia="zh-Hans"/>
      </w:rPr>
      <w:t>重庆市科学技术局</w:t>
    </w:r>
    <w:r>
      <w:rPr>
        <w:rFonts w:hint="eastAsia" w:ascii="宋体" w:hAnsi="宋体" w:eastAsia="宋体" w:cs="宋体"/>
        <w:b/>
        <w:bCs/>
        <w:color w:val="005192"/>
        <w:sz w:val="28"/>
        <w:szCs w:val="44"/>
      </w:rPr>
      <w:t>发布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3"/>
      <w:textAlignment w:val="center"/>
      <w:rPr>
        <w:rFonts w:ascii="宋体" w:hAnsi="宋体" w:eastAsia="宋体" w:cs="宋体"/>
        <w:b/>
        <w:bCs/>
        <w:color w:val="005192"/>
        <w:szCs w:val="32"/>
      </w:rPr>
    </w:pPr>
    <w:r>
      <w:rPr>
        <w:rFonts w:hint="eastAsia" w:ascii="方正仿宋_GBK" w:hAnsi="方正仿宋_GBK" w:cs="方正仿宋_GBK"/>
        <w:b/>
        <w:bCs/>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462280</wp:posOffset>
              </wp:positionV>
              <wp:extent cx="561594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600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5pt;margin-top:36.4pt;height:0pt;width:442.2pt;z-index:251659264;mso-width-relative:page;mso-height-relative:page;" filled="f" stroked="t" coordsize="21600,21600" o:gfxdata="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J2FhnTAAAABwEA&#10;AA8AAAAAAAAAAQAgAAAAIgAAAGRycy9kb3ducmV2LnhtbFBLAQIUABQAAAAIAIdO4kDmk18G5gEA&#10;ALIDAAAOAAAAAAAAAAEAIAAAACIBAABkcnMvZTJvRG9jLnhtbFBLBQYAAAAABgAGAFkBAAB6BQAA&#10;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rPr>
      <w:drawing>
        <wp:inline distT="0" distB="0" distL="114300" distR="114300">
          <wp:extent cx="308610" cy="308610"/>
          <wp:effectExtent l="0" t="0" r="21590" b="2159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bookmarkStart w:id="0" w:name="_Hlk105686991"/>
    <w:r>
      <w:rPr>
        <w:rFonts w:hint="eastAsia" w:ascii="宋体" w:hAnsi="宋体" w:eastAsia="宋体" w:cs="宋体"/>
        <w:b/>
        <w:bCs/>
        <w:color w:val="005192"/>
        <w:lang w:eastAsia="zh-Hans"/>
      </w:rPr>
      <w:t>重庆市科学技术局</w:t>
    </w:r>
    <w:bookmarkEnd w:id="0"/>
    <w:r>
      <w:rPr>
        <w:rFonts w:hint="eastAsia" w:ascii="宋体" w:hAnsi="宋体" w:eastAsia="宋体" w:cs="宋体"/>
        <w:b/>
        <w:bCs/>
        <w:color w:val="005192"/>
        <w:szCs w:val="32"/>
        <w:lang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attachedTemplate r:id="rId1"/>
  <w:documentProtection w:enforcement="0"/>
  <w:defaultTabStop w:val="420"/>
  <w:drawingGridHorizontalSpacing w:val="160"/>
  <w:drawingGridVerticalSpacing w:val="435"/>
  <w:displayHorizont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YzNGM2NTJhYjBlNTNjYmFiNjdkY2M5NTc5YWUzMzEifQ=="/>
  </w:docVars>
  <w:rsids>
    <w:rsidRoot w:val="00BD71E3"/>
    <w:rsid w:val="00172A27"/>
    <w:rsid w:val="001E2657"/>
    <w:rsid w:val="0025464D"/>
    <w:rsid w:val="004A3EA2"/>
    <w:rsid w:val="004C1B88"/>
    <w:rsid w:val="00544A7B"/>
    <w:rsid w:val="00791DB1"/>
    <w:rsid w:val="00972920"/>
    <w:rsid w:val="00A1429D"/>
    <w:rsid w:val="00B025C3"/>
    <w:rsid w:val="00BD71E3"/>
    <w:rsid w:val="00EA6B85"/>
    <w:rsid w:val="00F24693"/>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559B7"/>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6D0F04ED"/>
    <w:rsid w:val="71ED7B45"/>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 w:semiHidden="0" w:name="heading 1"/>
    <w:lsdException w:unhideWhenUsed="0" w:uiPriority="0" w:semiHidden="0" w:name="heading 2"/>
    <w:lsdException w:unhideWhenUsed="0" w:uiPriority="0" w:semiHidden="0" w:name="heading 3"/>
    <w:lsdException w:unhideWhenUsed="0" w:uiPriority="9" w:semiHidden="0" w:name="heading 4"/>
    <w:lsdException w:unhideWhenUsed="0" w:uiPriority="99" w:semiHidden="0" w:name="heading 5"/>
    <w:lsdException w:unhideWhenUsed="0" w:uiPriority="99" w:semiHidden="0" w:name="heading 6"/>
    <w:lsdException w:unhideWhenUsed="0" w:uiPriority="99" w:semiHidden="0" w:name="heading 7"/>
    <w:lsdException w:unhideWhenUsed="0" w:uiPriority="99" w:semiHidden="0" w:name="heading 8"/>
    <w:lsdException w:unhideWhenUsed="0" w:uiPriority="9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99" w:semiHidden="0" w:name="annotation text"/>
    <w:lsdException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600" w:lineRule="exact"/>
      <w:ind w:firstLine="200" w:firstLineChars="200"/>
      <w:contextualSpacing/>
      <w:jc w:val="both"/>
    </w:pPr>
    <w:rPr>
      <w:rFonts w:ascii="Times New Roman" w:hAnsi="Times New Roman" w:eastAsia="方正仿宋_GBK" w:cs="Times New Roman"/>
      <w:kern w:val="2"/>
      <w:sz w:val="32"/>
      <w:szCs w:val="24"/>
      <w:lang w:val="en-US" w:eastAsia="zh-CN" w:bidi="ar-SA"/>
    </w:rPr>
  </w:style>
  <w:style w:type="paragraph" w:styleId="2">
    <w:name w:val="heading 1"/>
    <w:basedOn w:val="1"/>
    <w:next w:val="1"/>
    <w:link w:val="22"/>
    <w:uiPriority w:val="9"/>
    <w:pPr>
      <w:keepNext/>
      <w:keepLines/>
      <w:spacing w:before="340" w:after="330" w:line="578" w:lineRule="auto"/>
      <w:outlineLvl w:val="0"/>
    </w:pPr>
    <w:rPr>
      <w:rFonts w:eastAsia="方正黑体_GBK"/>
      <w:bCs/>
      <w:kern w:val="44"/>
      <w:szCs w:val="44"/>
    </w:rPr>
  </w:style>
  <w:style w:type="paragraph" w:styleId="3">
    <w:name w:val="heading 2"/>
    <w:basedOn w:val="1"/>
    <w:next w:val="1"/>
    <w:link w:val="23"/>
    <w:uiPriority w:val="0"/>
    <w:pPr>
      <w:keepNext/>
      <w:keepLines/>
      <w:spacing w:before="260" w:after="260" w:line="416" w:lineRule="auto"/>
      <w:outlineLvl w:val="1"/>
    </w:pPr>
    <w:rPr>
      <w:rFonts w:ascii="Cambria" w:hAnsi="Cambria"/>
      <w:b/>
      <w:bCs/>
      <w:szCs w:val="32"/>
    </w:rPr>
  </w:style>
  <w:style w:type="paragraph" w:styleId="4">
    <w:name w:val="heading 3"/>
    <w:basedOn w:val="1"/>
    <w:next w:val="1"/>
    <w:link w:val="24"/>
    <w:uiPriority w:val="0"/>
    <w:pPr>
      <w:keepNext/>
      <w:keepLines/>
      <w:spacing w:before="260" w:after="260" w:line="415" w:lineRule="auto"/>
      <w:outlineLvl w:val="2"/>
    </w:pPr>
    <w:rPr>
      <w:rFonts w:eastAsia="黑体"/>
      <w:b/>
      <w:bCs/>
      <w:szCs w:val="32"/>
    </w:rPr>
  </w:style>
  <w:style w:type="paragraph" w:styleId="5">
    <w:name w:val="heading 4"/>
    <w:basedOn w:val="1"/>
    <w:next w:val="1"/>
    <w:link w:val="25"/>
    <w:uiPriority w:val="9"/>
    <w:pPr>
      <w:spacing w:before="280" w:after="290" w:line="376" w:lineRule="auto"/>
      <w:outlineLvl w:val="3"/>
    </w:pPr>
    <w:rPr>
      <w:sz w:val="28"/>
      <w:szCs w:val="28"/>
    </w:rPr>
  </w:style>
  <w:style w:type="paragraph" w:styleId="6">
    <w:name w:val="heading 5"/>
    <w:basedOn w:val="1"/>
    <w:next w:val="1"/>
    <w:link w:val="26"/>
    <w:uiPriority w:val="99"/>
    <w:pPr>
      <w:keepNext/>
      <w:keepLines/>
      <w:spacing w:before="280" w:after="290" w:line="376" w:lineRule="auto"/>
      <w:outlineLvl w:val="4"/>
    </w:pPr>
    <w:rPr>
      <w:rFonts w:ascii="Arial Narrow" w:hAnsi="Arial Narrow" w:eastAsia="仿宋_GB2312"/>
      <w:b/>
      <w:bCs/>
      <w:color w:val="000000"/>
      <w:sz w:val="28"/>
      <w:szCs w:val="28"/>
    </w:rPr>
  </w:style>
  <w:style w:type="paragraph" w:styleId="7">
    <w:name w:val="heading 6"/>
    <w:basedOn w:val="1"/>
    <w:next w:val="1"/>
    <w:link w:val="27"/>
    <w:uiPriority w:val="99"/>
    <w:pPr>
      <w:keepNext/>
      <w:keepLines/>
      <w:spacing w:before="240" w:after="64" w:line="320" w:lineRule="auto"/>
      <w:outlineLvl w:val="5"/>
    </w:pPr>
    <w:rPr>
      <w:rFonts w:ascii="Arial" w:hAnsi="Arial" w:eastAsia="黑体"/>
      <w:b/>
      <w:bCs/>
      <w:sz w:val="24"/>
    </w:rPr>
  </w:style>
  <w:style w:type="paragraph" w:styleId="8">
    <w:name w:val="heading 7"/>
    <w:basedOn w:val="1"/>
    <w:next w:val="1"/>
    <w:link w:val="28"/>
    <w:uiPriority w:val="99"/>
    <w:pPr>
      <w:keepNext/>
      <w:keepLines/>
      <w:spacing w:before="240" w:after="64" w:line="320" w:lineRule="auto"/>
      <w:outlineLvl w:val="6"/>
    </w:pPr>
    <w:rPr>
      <w:b/>
      <w:bCs/>
      <w:sz w:val="24"/>
    </w:rPr>
  </w:style>
  <w:style w:type="paragraph" w:styleId="9">
    <w:name w:val="heading 8"/>
    <w:basedOn w:val="1"/>
    <w:next w:val="1"/>
    <w:link w:val="29"/>
    <w:uiPriority w:val="99"/>
    <w:pPr>
      <w:keepNext/>
      <w:keepLines/>
      <w:spacing w:before="240" w:after="64" w:line="320" w:lineRule="auto"/>
      <w:outlineLvl w:val="7"/>
    </w:pPr>
    <w:rPr>
      <w:rFonts w:ascii="Arial" w:hAnsi="Arial" w:eastAsia="黑体"/>
      <w:sz w:val="24"/>
    </w:rPr>
  </w:style>
  <w:style w:type="paragraph" w:styleId="10">
    <w:name w:val="heading 9"/>
    <w:basedOn w:val="1"/>
    <w:next w:val="1"/>
    <w:link w:val="30"/>
    <w:uiPriority w:val="99"/>
    <w:pPr>
      <w:keepNext/>
      <w:keepLines/>
      <w:spacing w:before="240" w:after="64" w:line="320" w:lineRule="auto"/>
      <w:outlineLvl w:val="8"/>
    </w:pPr>
    <w:rPr>
      <w:rFonts w:ascii="Arial" w:hAnsi="Arial" w:eastAsia="黑体"/>
      <w:szCs w:val="21"/>
    </w:rPr>
  </w:style>
  <w:style w:type="character" w:default="1" w:styleId="19">
    <w:name w:val="Default Paragraph Font"/>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11">
    <w:name w:val="annotation text"/>
    <w:basedOn w:val="1"/>
    <w:link w:val="38"/>
    <w:uiPriority w:val="99"/>
    <w:pPr>
      <w:jc w:val="left"/>
    </w:pPr>
  </w:style>
  <w:style w:type="paragraph" w:styleId="12">
    <w:name w:val="Date"/>
    <w:basedOn w:val="1"/>
    <w:next w:val="1"/>
    <w:link w:val="40"/>
    <w:unhideWhenUsed/>
    <w:uiPriority w:val="99"/>
    <w:pPr>
      <w:adjustRightInd/>
      <w:snapToGrid/>
      <w:spacing w:line="240" w:lineRule="auto"/>
      <w:ind w:left="100" w:leftChars="2500" w:firstLine="0" w:firstLineChars="0"/>
      <w:contextualSpacing w:val="0"/>
    </w:pPr>
    <w:rPr>
      <w:rFonts w:ascii="Calibri" w:hAnsi="Calibri" w:eastAsia="宋体"/>
      <w:kern w:val="0"/>
      <w:sz w:val="20"/>
      <w:szCs w:val="20"/>
    </w:rPr>
  </w:style>
  <w:style w:type="paragraph" w:styleId="13">
    <w:name w:val="Balloon Text"/>
    <w:basedOn w:val="1"/>
    <w:link w:val="37"/>
    <w:qFormat/>
    <w:uiPriority w:val="0"/>
    <w:pPr>
      <w:spacing w:line="240" w:lineRule="auto"/>
    </w:pPr>
    <w:rPr>
      <w:sz w:val="18"/>
      <w:szCs w:val="18"/>
    </w:rPr>
  </w:style>
  <w:style w:type="paragraph" w:styleId="14">
    <w:name w:val="footer"/>
    <w:basedOn w:val="1"/>
    <w:link w:val="46"/>
    <w:qFormat/>
    <w:uiPriority w:val="99"/>
    <w:pPr>
      <w:tabs>
        <w:tab w:val="center" w:pos="4153"/>
        <w:tab w:val="right" w:pos="8306"/>
      </w:tabs>
      <w:spacing w:line="240" w:lineRule="atLeast"/>
      <w:jc w:val="left"/>
    </w:pPr>
    <w:rPr>
      <w:sz w:val="18"/>
      <w:szCs w:val="18"/>
    </w:rPr>
  </w:style>
  <w:style w:type="paragraph" w:styleId="15">
    <w:name w:val="header"/>
    <w:basedOn w:val="1"/>
    <w:link w:val="47"/>
    <w:uiPriority w:val="99"/>
    <w:pPr>
      <w:pBdr>
        <w:bottom w:val="single" w:color="auto" w:sz="6" w:space="1"/>
      </w:pBdr>
      <w:tabs>
        <w:tab w:val="center" w:pos="4153"/>
        <w:tab w:val="right" w:pos="8306"/>
      </w:tabs>
      <w:spacing w:line="240" w:lineRule="atLeast"/>
      <w:jc w:val="center"/>
    </w:pPr>
    <w:rPr>
      <w:sz w:val="18"/>
      <w:szCs w:val="18"/>
    </w:rPr>
  </w:style>
  <w:style w:type="paragraph" w:styleId="16">
    <w:name w:val="annotation subject"/>
    <w:basedOn w:val="11"/>
    <w:next w:val="11"/>
    <w:link w:val="39"/>
    <w:uiPriority w:val="99"/>
    <w:rPr>
      <w:b/>
      <w:bCs/>
    </w:rPr>
  </w:style>
  <w:style w:type="table" w:styleId="18">
    <w:name w:val="Table Grid"/>
    <w:basedOn w:val="17"/>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unhideWhenUsed/>
    <w:uiPriority w:val="99"/>
    <w:rPr>
      <w:color w:val="0000FF"/>
      <w:u w:val="single"/>
    </w:rPr>
  </w:style>
  <w:style w:type="character" w:styleId="21">
    <w:name w:val="annotation reference"/>
    <w:basedOn w:val="19"/>
    <w:qFormat/>
    <w:uiPriority w:val="0"/>
    <w:rPr>
      <w:sz w:val="21"/>
      <w:szCs w:val="21"/>
    </w:rPr>
  </w:style>
  <w:style w:type="character" w:customStyle="1" w:styleId="22">
    <w:name w:val="标题 1 字符"/>
    <w:link w:val="2"/>
    <w:qFormat/>
    <w:uiPriority w:val="9"/>
    <w:rPr>
      <w:rFonts w:eastAsia="方正黑体_GBK"/>
      <w:bCs/>
      <w:kern w:val="44"/>
      <w:sz w:val="32"/>
      <w:szCs w:val="44"/>
    </w:rPr>
  </w:style>
  <w:style w:type="character" w:customStyle="1" w:styleId="23">
    <w:name w:val="标题 2 字符"/>
    <w:link w:val="3"/>
    <w:qFormat/>
    <w:uiPriority w:val="0"/>
    <w:rPr>
      <w:rFonts w:ascii="Cambria" w:hAnsi="Cambria" w:eastAsia="方正仿宋_GBK"/>
      <w:b/>
      <w:bCs/>
      <w:kern w:val="2"/>
      <w:sz w:val="32"/>
      <w:szCs w:val="32"/>
    </w:rPr>
  </w:style>
  <w:style w:type="character" w:customStyle="1" w:styleId="24">
    <w:name w:val="标题 3 字符"/>
    <w:link w:val="4"/>
    <w:qFormat/>
    <w:uiPriority w:val="0"/>
    <w:rPr>
      <w:rFonts w:eastAsia="黑体"/>
      <w:b/>
      <w:bCs/>
      <w:kern w:val="2"/>
      <w:sz w:val="32"/>
      <w:szCs w:val="32"/>
    </w:rPr>
  </w:style>
  <w:style w:type="character" w:customStyle="1" w:styleId="25">
    <w:name w:val="标题 4 字符"/>
    <w:link w:val="5"/>
    <w:qFormat/>
    <w:uiPriority w:val="9"/>
    <w:rPr>
      <w:rFonts w:eastAsia="方正仿宋_GBK"/>
      <w:kern w:val="2"/>
      <w:sz w:val="28"/>
      <w:szCs w:val="28"/>
    </w:rPr>
  </w:style>
  <w:style w:type="character" w:customStyle="1" w:styleId="26">
    <w:name w:val="标题 5 字符"/>
    <w:link w:val="6"/>
    <w:qFormat/>
    <w:uiPriority w:val="99"/>
    <w:rPr>
      <w:rFonts w:ascii="Arial Narrow" w:hAnsi="Arial Narrow" w:eastAsia="仿宋_GB2312"/>
      <w:b/>
      <w:bCs/>
      <w:color w:val="000000"/>
      <w:kern w:val="2"/>
      <w:sz w:val="28"/>
      <w:szCs w:val="28"/>
    </w:rPr>
  </w:style>
  <w:style w:type="character" w:customStyle="1" w:styleId="27">
    <w:name w:val="标题 6 字符"/>
    <w:link w:val="7"/>
    <w:qFormat/>
    <w:uiPriority w:val="99"/>
    <w:rPr>
      <w:rFonts w:ascii="Arial" w:hAnsi="Arial" w:eastAsia="黑体"/>
      <w:b/>
      <w:bCs/>
      <w:kern w:val="2"/>
      <w:sz w:val="24"/>
      <w:szCs w:val="24"/>
    </w:rPr>
  </w:style>
  <w:style w:type="character" w:customStyle="1" w:styleId="28">
    <w:name w:val="标题 7 字符"/>
    <w:link w:val="8"/>
    <w:qFormat/>
    <w:uiPriority w:val="99"/>
    <w:rPr>
      <w:rFonts w:eastAsia="方正仿宋_GBK"/>
      <w:b/>
      <w:bCs/>
      <w:kern w:val="2"/>
      <w:sz w:val="24"/>
      <w:szCs w:val="24"/>
    </w:rPr>
  </w:style>
  <w:style w:type="character" w:customStyle="1" w:styleId="29">
    <w:name w:val="标题 8 字符"/>
    <w:link w:val="9"/>
    <w:qFormat/>
    <w:uiPriority w:val="99"/>
    <w:rPr>
      <w:rFonts w:ascii="Arial" w:hAnsi="Arial" w:eastAsia="黑体"/>
      <w:kern w:val="2"/>
      <w:sz w:val="24"/>
      <w:szCs w:val="24"/>
    </w:rPr>
  </w:style>
  <w:style w:type="character" w:customStyle="1" w:styleId="30">
    <w:name w:val="标题 9 字符"/>
    <w:link w:val="10"/>
    <w:qFormat/>
    <w:uiPriority w:val="99"/>
    <w:rPr>
      <w:rFonts w:ascii="Arial" w:hAnsi="Arial" w:eastAsia="黑体"/>
      <w:kern w:val="2"/>
      <w:sz w:val="32"/>
      <w:szCs w:val="21"/>
    </w:rPr>
  </w:style>
  <w:style w:type="paragraph" w:customStyle="1" w:styleId="31">
    <w:name w:val="表格字体"/>
    <w:basedOn w:val="1"/>
    <w:qFormat/>
    <w:uiPriority w:val="0"/>
    <w:pPr>
      <w:spacing w:line="240" w:lineRule="auto"/>
      <w:ind w:firstLine="0" w:firstLineChars="0"/>
    </w:pPr>
    <w:rPr>
      <w:sz w:val="21"/>
    </w:rPr>
  </w:style>
  <w:style w:type="paragraph" w:customStyle="1" w:styleId="32">
    <w:name w:val="二级标题"/>
    <w:basedOn w:val="1"/>
    <w:next w:val="1"/>
    <w:qFormat/>
    <w:uiPriority w:val="0"/>
    <w:pPr>
      <w:outlineLvl w:val="1"/>
    </w:pPr>
    <w:rPr>
      <w:rFonts w:eastAsia="方正楷体_GBK"/>
    </w:rPr>
  </w:style>
  <w:style w:type="paragraph" w:customStyle="1" w:styleId="33">
    <w:name w:val="附件"/>
    <w:basedOn w:val="1"/>
    <w:next w:val="1"/>
    <w:qFormat/>
    <w:uiPriority w:val="0"/>
    <w:pPr>
      <w:ind w:firstLine="0" w:firstLineChars="0"/>
      <w:outlineLvl w:val="0"/>
    </w:pPr>
    <w:rPr>
      <w:rFonts w:eastAsia="方正黑体_GBK"/>
    </w:rPr>
  </w:style>
  <w:style w:type="paragraph" w:styleId="34">
    <w:name w:val="List Paragraph"/>
    <w:basedOn w:val="1"/>
    <w:uiPriority w:val="99"/>
    <w:pPr>
      <w:ind w:firstLine="420"/>
    </w:pPr>
  </w:style>
  <w:style w:type="paragraph" w:customStyle="1" w:styleId="35">
    <w:name w:val="落款"/>
    <w:basedOn w:val="1"/>
    <w:next w:val="1"/>
    <w:link w:val="36"/>
    <w:qFormat/>
    <w:uiPriority w:val="0"/>
    <w:pPr>
      <w:ind w:right="200" w:rightChars="200" w:firstLine="0" w:firstLineChars="0"/>
      <w:jc w:val="right"/>
    </w:pPr>
  </w:style>
  <w:style w:type="character" w:customStyle="1" w:styleId="36">
    <w:name w:val="落款 字符"/>
    <w:basedOn w:val="19"/>
    <w:link w:val="35"/>
    <w:uiPriority w:val="0"/>
    <w:rPr>
      <w:rFonts w:eastAsia="方正仿宋_GBK"/>
      <w:kern w:val="2"/>
      <w:sz w:val="32"/>
      <w:szCs w:val="24"/>
    </w:rPr>
  </w:style>
  <w:style w:type="character" w:customStyle="1" w:styleId="37">
    <w:name w:val="批注框文本 字符"/>
    <w:basedOn w:val="19"/>
    <w:link w:val="13"/>
    <w:qFormat/>
    <w:uiPriority w:val="0"/>
    <w:rPr>
      <w:rFonts w:eastAsia="方正仿宋_GBK"/>
      <w:kern w:val="2"/>
      <w:sz w:val="18"/>
      <w:szCs w:val="18"/>
    </w:rPr>
  </w:style>
  <w:style w:type="character" w:customStyle="1" w:styleId="38">
    <w:name w:val="批注文字 字符"/>
    <w:basedOn w:val="19"/>
    <w:link w:val="11"/>
    <w:qFormat/>
    <w:uiPriority w:val="99"/>
    <w:rPr>
      <w:rFonts w:eastAsia="方正仿宋_GBK"/>
      <w:kern w:val="2"/>
      <w:sz w:val="32"/>
      <w:szCs w:val="24"/>
    </w:rPr>
  </w:style>
  <w:style w:type="character" w:customStyle="1" w:styleId="39">
    <w:name w:val="批注主题 字符"/>
    <w:basedOn w:val="38"/>
    <w:link w:val="16"/>
    <w:uiPriority w:val="99"/>
    <w:rPr>
      <w:rFonts w:eastAsia="方正仿宋_GBK"/>
      <w:b/>
      <w:bCs/>
      <w:kern w:val="2"/>
      <w:sz w:val="32"/>
      <w:szCs w:val="24"/>
    </w:rPr>
  </w:style>
  <w:style w:type="character" w:customStyle="1" w:styleId="40">
    <w:name w:val="日期 字符"/>
    <w:basedOn w:val="19"/>
    <w:link w:val="12"/>
    <w:uiPriority w:val="99"/>
    <w:rPr>
      <w:rFonts w:ascii="Calibri" w:hAnsi="Calibri"/>
    </w:rPr>
  </w:style>
  <w:style w:type="character" w:customStyle="1" w:styleId="41">
    <w:name w:val="日期 字符1"/>
    <w:basedOn w:val="19"/>
    <w:uiPriority w:val="0"/>
    <w:rPr>
      <w:rFonts w:ascii="Times New Roman" w:hAnsi="Times New Roman" w:eastAsia="方正仿宋_GBK"/>
      <w:kern w:val="2"/>
      <w:sz w:val="32"/>
      <w:szCs w:val="24"/>
    </w:rPr>
  </w:style>
  <w:style w:type="paragraph" w:customStyle="1" w:styleId="42">
    <w:name w:val="三级标题"/>
    <w:basedOn w:val="1"/>
    <w:next w:val="1"/>
    <w:uiPriority w:val="0"/>
    <w:pPr>
      <w:outlineLvl w:val="2"/>
    </w:pPr>
    <w:rPr>
      <w:b/>
    </w:rPr>
  </w:style>
  <w:style w:type="paragraph" w:customStyle="1" w:styleId="43">
    <w:name w:val="图表标题"/>
    <w:basedOn w:val="1"/>
    <w:next w:val="1"/>
    <w:uiPriority w:val="0"/>
    <w:pPr>
      <w:ind w:firstLine="0" w:firstLineChars="0"/>
      <w:jc w:val="center"/>
      <w:outlineLvl w:val="2"/>
    </w:pPr>
    <w:rPr>
      <w:rFonts w:eastAsia="方正黑体_GBK"/>
      <w:sz w:val="28"/>
    </w:rPr>
  </w:style>
  <w:style w:type="paragraph" w:customStyle="1" w:styleId="44">
    <w:name w:val="文档标题"/>
    <w:basedOn w:val="1"/>
    <w:next w:val="1"/>
    <w:qFormat/>
    <w:uiPriority w:val="0"/>
    <w:pPr>
      <w:ind w:firstLine="0" w:firstLineChars="0"/>
      <w:jc w:val="center"/>
      <w:outlineLvl w:val="0"/>
    </w:pPr>
    <w:rPr>
      <w:rFonts w:eastAsia="方正小标宋_GBK"/>
      <w:sz w:val="44"/>
    </w:rPr>
  </w:style>
  <w:style w:type="paragraph" w:customStyle="1" w:styleId="45">
    <w:name w:val="文号"/>
    <w:basedOn w:val="1"/>
    <w:next w:val="1"/>
    <w:qFormat/>
    <w:uiPriority w:val="0"/>
    <w:pPr>
      <w:ind w:firstLine="0" w:firstLineChars="0"/>
      <w:jc w:val="center"/>
    </w:pPr>
  </w:style>
  <w:style w:type="character" w:customStyle="1" w:styleId="46">
    <w:name w:val="页脚 字符"/>
    <w:basedOn w:val="19"/>
    <w:link w:val="14"/>
    <w:qFormat/>
    <w:uiPriority w:val="99"/>
    <w:rPr>
      <w:rFonts w:eastAsia="方正仿宋_GBK"/>
      <w:kern w:val="2"/>
      <w:sz w:val="18"/>
      <w:szCs w:val="18"/>
    </w:rPr>
  </w:style>
  <w:style w:type="character" w:customStyle="1" w:styleId="47">
    <w:name w:val="页眉 字符"/>
    <w:basedOn w:val="19"/>
    <w:link w:val="15"/>
    <w:qFormat/>
    <w:uiPriority w:val="99"/>
    <w:rPr>
      <w:rFonts w:eastAsia="方正仿宋_GBK"/>
      <w:kern w:val="2"/>
      <w:sz w:val="18"/>
      <w:szCs w:val="18"/>
    </w:rPr>
  </w:style>
  <w:style w:type="paragraph" w:customStyle="1" w:styleId="48">
    <w:name w:val="一级标题"/>
    <w:basedOn w:val="1"/>
    <w:next w:val="1"/>
    <w:link w:val="49"/>
    <w:qFormat/>
    <w:uiPriority w:val="0"/>
    <w:pPr>
      <w:outlineLvl w:val="0"/>
    </w:pPr>
    <w:rPr>
      <w:rFonts w:eastAsia="方正黑体_GBK"/>
      <w:szCs w:val="32"/>
    </w:rPr>
  </w:style>
  <w:style w:type="character" w:customStyle="1" w:styleId="49">
    <w:name w:val="一级标题 字符"/>
    <w:basedOn w:val="19"/>
    <w:link w:val="48"/>
    <w:qFormat/>
    <w:uiPriority w:val="0"/>
    <w:rPr>
      <w:rFonts w:eastAsia="方正黑体_GBK"/>
      <w:kern w:val="2"/>
      <w:sz w:val="32"/>
      <w:szCs w:val="32"/>
    </w:rPr>
  </w:style>
  <w:style w:type="paragraph" w:customStyle="1" w:styleId="50">
    <w:name w:val="章节标题"/>
    <w:basedOn w:val="1"/>
    <w:next w:val="1"/>
    <w:qFormat/>
    <w:uiPriority w:val="0"/>
    <w:pPr>
      <w:ind w:firstLine="0" w:firstLineChars="0"/>
      <w:jc w:val="center"/>
      <w:outlineLvl w:val="0"/>
    </w:pPr>
    <w:rPr>
      <w:rFonts w:eastAsia="方正黑体_GBK"/>
    </w:rPr>
  </w:style>
  <w:style w:type="paragraph" w:customStyle="1" w:styleId="51">
    <w:name w:val="正文顶格"/>
    <w:basedOn w:val="1"/>
    <w:next w:val="1"/>
    <w:link w:val="52"/>
    <w:qFormat/>
    <w:uiPriority w:val="0"/>
    <w:pPr>
      <w:ind w:firstLine="0" w:firstLineChars="0"/>
    </w:pPr>
  </w:style>
  <w:style w:type="character" w:customStyle="1" w:styleId="52">
    <w:name w:val="正文顶格 字符"/>
    <w:basedOn w:val="19"/>
    <w:link w:val="51"/>
    <w:qFormat/>
    <w:uiPriority w:val="0"/>
    <w:rPr>
      <w:rFonts w:eastAsia="方正仿宋_GBK"/>
      <w:kern w:val="2"/>
      <w:sz w:val="32"/>
      <w:szCs w:val="24"/>
    </w:rPr>
  </w:style>
  <w:style w:type="paragraph" w:customStyle="1" w:styleId="53">
    <w:name w:val="专栏"/>
    <w:basedOn w:val="1"/>
    <w:qFormat/>
    <w:uiPriority w:val="0"/>
    <w:pPr>
      <w:spacing w:line="400" w:lineRule="exact"/>
    </w:pPr>
    <w:rPr>
      <w:sz w:val="24"/>
    </w:rPr>
  </w:style>
  <w:style w:type="paragraph" w:customStyle="1" w:styleId="54">
    <w:name w:val="专栏编号"/>
    <w:basedOn w:val="53"/>
    <w:next w:val="53"/>
    <w:qFormat/>
    <w:uiPriority w:val="0"/>
    <w:pPr>
      <w:ind w:firstLine="0" w:firstLineChars="0"/>
      <w:outlineLvl w:val="2"/>
    </w:pPr>
    <w:rPr>
      <w:rFonts w:eastAsia="方正黑体_GBK"/>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pli\Desktop\&#38468;&#20214;5%20%20&#34892;&#25919;&#35268;&#33539;&#24615;&#25991;&#20214;WORD&#26684;&#24335;&#27169;&#26495;.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附件5  行政规范性文件WORD格式模板</Template>
  <Pages>10</Pages>
  <Words>3612</Words>
  <Characters>3829</Characters>
  <Lines>28</Lines>
  <Paragraphs>8</Paragraphs>
  <TotalTime>13</TotalTime>
  <ScaleCrop>false</ScaleCrop>
  <LinksUpToDate>false</LinksUpToDate>
  <CharactersWithSpaces>3924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2022-06-09T08:55:00Z</dcterms:created>
  <dc:creator>陈增林</dc:creator>
  <cp:lastModifiedBy>条条</cp:lastModifiedBy>
  <cp:lastPrinted>2022-06-06T16:09:00Z</cp:lastPrinted>
  <dcterms:modified xsi:type="dcterms:W3CDTF">2022-06-10T08:11:51Z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