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E4" w:rsidRDefault="00671CE4" w:rsidP="00671CE4">
      <w:pPr>
        <w:widowControl/>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附件4</w:t>
      </w:r>
    </w:p>
    <w:p w:rsidR="00671CE4" w:rsidRDefault="00671CE4" w:rsidP="00671CE4">
      <w:pPr>
        <w:widowControl/>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color w:val="000000"/>
          <w:kern w:val="0"/>
          <w:sz w:val="44"/>
          <w:szCs w:val="44"/>
        </w:rPr>
        <w:t>奥地利推介科技项目清单</w:t>
      </w:r>
    </w:p>
    <w:tbl>
      <w:tblPr>
        <w:tblStyle w:val="a5"/>
        <w:tblW w:w="8950" w:type="dxa"/>
        <w:jc w:val="center"/>
        <w:tblLook w:val="04A0" w:firstRow="1" w:lastRow="0" w:firstColumn="1" w:lastColumn="0" w:noHBand="0" w:noVBand="1"/>
      </w:tblPr>
      <w:tblGrid>
        <w:gridCol w:w="716"/>
        <w:gridCol w:w="1896"/>
        <w:gridCol w:w="2066"/>
        <w:gridCol w:w="4272"/>
      </w:tblGrid>
      <w:tr w:rsidR="00671CE4" w:rsidTr="00F721B6">
        <w:trPr>
          <w:trHeight w:val="634"/>
          <w:tblHeader/>
          <w:jc w:val="center"/>
        </w:trPr>
        <w:tc>
          <w:tcPr>
            <w:tcW w:w="716" w:type="dxa"/>
            <w:vAlign w:val="center"/>
          </w:tcPr>
          <w:p w:rsidR="00671CE4" w:rsidRDefault="00671CE4" w:rsidP="00F721B6">
            <w:pPr>
              <w:widowControl/>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编号</w:t>
            </w:r>
          </w:p>
        </w:tc>
        <w:tc>
          <w:tcPr>
            <w:tcW w:w="1896" w:type="dxa"/>
            <w:vAlign w:val="center"/>
          </w:tcPr>
          <w:p w:rsidR="00671CE4" w:rsidRDefault="00671CE4" w:rsidP="00F721B6">
            <w:pPr>
              <w:widowControl/>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推介单位</w:t>
            </w:r>
          </w:p>
        </w:tc>
        <w:tc>
          <w:tcPr>
            <w:tcW w:w="2066" w:type="dxa"/>
            <w:vAlign w:val="center"/>
          </w:tcPr>
          <w:p w:rsidR="00671CE4" w:rsidRDefault="00671CE4" w:rsidP="00F721B6">
            <w:pPr>
              <w:widowControl/>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项目名称</w:t>
            </w:r>
          </w:p>
        </w:tc>
        <w:tc>
          <w:tcPr>
            <w:tcW w:w="4272" w:type="dxa"/>
            <w:vAlign w:val="center"/>
          </w:tcPr>
          <w:p w:rsidR="00671CE4" w:rsidRDefault="00671CE4" w:rsidP="00F721B6">
            <w:pPr>
              <w:widowControl/>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项目简介</w:t>
            </w:r>
          </w:p>
        </w:tc>
      </w:tr>
      <w:tr w:rsidR="00671CE4" w:rsidTr="00F721B6">
        <w:trPr>
          <w:trHeight w:val="3304"/>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1</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奥地利技术</w:t>
            </w:r>
            <w:r>
              <w:rPr>
                <w:rFonts w:ascii="宋体" w:hAnsi="宋体" w:cs="宋体" w:hint="eastAsia"/>
                <w:sz w:val="24"/>
                <w:szCs w:val="24"/>
              </w:rPr>
              <w:t>研究所（AIT）</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数字化韧性城市</w:t>
            </w:r>
          </w:p>
          <w:p w:rsidR="00671CE4" w:rsidRDefault="00671CE4" w:rsidP="00F721B6">
            <w:pPr>
              <w:widowControl/>
              <w:jc w:val="center"/>
              <w:rPr>
                <w:rFonts w:ascii="宋体" w:hAnsi="宋体" w:cs="宋体"/>
                <w:sz w:val="24"/>
                <w:szCs w:val="24"/>
              </w:rPr>
            </w:pP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AIT 是奥地利最大的科研与技术组织，在我们所涉及的诸多研究领域都是国际关键参与者。作为一家独立的专业机构，AIT致力于开发前沿的城市管理和规划解决方案，这使得我们成为行业领先的发展合作伙伴以及国际科学界中的杰出雇主。在 AIT 内部，“ 数字化韧性城市”部门正开拓新的方式，以规划和实现可持续的、智慧的和具有韧性的未来栖息地。</w:t>
            </w:r>
          </w:p>
        </w:tc>
      </w:tr>
      <w:tr w:rsidR="00671CE4" w:rsidTr="00F721B6">
        <w:trPr>
          <w:trHeight w:val="3885"/>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2</w:t>
            </w:r>
          </w:p>
        </w:tc>
        <w:tc>
          <w:tcPr>
            <w:tcW w:w="1896" w:type="dxa"/>
            <w:vAlign w:val="center"/>
          </w:tcPr>
          <w:p w:rsidR="00671CE4" w:rsidRDefault="00671CE4" w:rsidP="00F721B6">
            <w:pPr>
              <w:widowControl/>
              <w:jc w:val="center"/>
              <w:rPr>
                <w:rFonts w:ascii="宋体" w:hAnsi="宋体" w:cs="宋体"/>
                <w:sz w:val="24"/>
                <w:szCs w:val="24"/>
                <w:lang w:val="de-AT"/>
              </w:rPr>
            </w:pPr>
            <w:r>
              <w:rPr>
                <w:rFonts w:ascii="宋体" w:hAnsi="宋体" w:cs="宋体" w:hint="eastAsia"/>
                <w:sz w:val="24"/>
                <w:szCs w:val="24"/>
                <w:lang w:val="de-AT"/>
              </w:rPr>
              <w:t>建筑信息模型专家</w:t>
            </w:r>
            <w:r>
              <w:rPr>
                <w:rFonts w:ascii="宋体" w:hAnsi="宋体" w:cs="宋体" w:hint="eastAsia"/>
                <w:sz w:val="24"/>
                <w:szCs w:val="24"/>
              </w:rPr>
              <w:t>有限公司（</w:t>
            </w:r>
            <w:r>
              <w:rPr>
                <w:rFonts w:ascii="宋体" w:hAnsi="宋体" w:cs="宋体" w:hint="eastAsia"/>
                <w:sz w:val="24"/>
                <w:szCs w:val="24"/>
                <w:lang w:val="de-AT"/>
              </w:rPr>
              <w:t>BIMEXPERTS</w:t>
            </w:r>
            <w:r>
              <w:rPr>
                <w:rFonts w:ascii="宋体" w:hAnsi="宋体" w:cs="宋体" w:hint="eastAsia"/>
                <w:sz w:val="24"/>
                <w:szCs w:val="24"/>
              </w:rPr>
              <w:t>）</w:t>
            </w:r>
          </w:p>
          <w:p w:rsidR="00671CE4" w:rsidRDefault="00671CE4" w:rsidP="00F721B6">
            <w:pPr>
              <w:widowControl/>
              <w:jc w:val="center"/>
              <w:rPr>
                <w:rFonts w:ascii="宋体" w:hAnsi="宋体" w:cs="宋体"/>
                <w:sz w:val="24"/>
                <w:szCs w:val="24"/>
              </w:rPr>
            </w:pP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建筑信息模型</w:t>
            </w:r>
            <w:r>
              <w:rPr>
                <w:rFonts w:ascii="宋体" w:hAnsi="宋体" w:cs="宋体" w:hint="eastAsia"/>
                <w:sz w:val="24"/>
                <w:szCs w:val="24"/>
                <w:lang w:val="de-AT"/>
              </w:rPr>
              <w:t>（BIM）</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lang w:val="de-AT"/>
              </w:rPr>
              <w:t>BIMEXPERTS</w:t>
            </w:r>
            <w:r>
              <w:rPr>
                <w:rFonts w:ascii="宋体" w:hAnsi="宋体" w:cs="宋体" w:hint="eastAsia"/>
                <w:sz w:val="24"/>
                <w:szCs w:val="24"/>
              </w:rPr>
              <w:t>有限公司是一家专注于建筑信息模型</w:t>
            </w:r>
            <w:r>
              <w:rPr>
                <w:rFonts w:ascii="宋体" w:hAnsi="宋体" w:cs="宋体" w:hint="eastAsia"/>
                <w:sz w:val="24"/>
                <w:szCs w:val="24"/>
                <w:lang w:val="de-AT"/>
              </w:rPr>
              <w:t>（BIM）</w:t>
            </w:r>
            <w:r>
              <w:rPr>
                <w:rFonts w:ascii="宋体" w:hAnsi="宋体" w:cs="宋体" w:hint="eastAsia"/>
                <w:sz w:val="24"/>
                <w:szCs w:val="24"/>
              </w:rPr>
              <w:t>的创新公司</w:t>
            </w:r>
            <w:r>
              <w:rPr>
                <w:rFonts w:ascii="宋体" w:hAnsi="宋体" w:cs="宋体" w:hint="eastAsia"/>
                <w:sz w:val="24"/>
                <w:szCs w:val="24"/>
                <w:lang w:val="de-AT"/>
              </w:rPr>
              <w:t>，</w:t>
            </w:r>
            <w:r>
              <w:rPr>
                <w:rFonts w:ascii="宋体" w:hAnsi="宋体" w:cs="宋体" w:hint="eastAsia"/>
                <w:sz w:val="24"/>
                <w:szCs w:val="24"/>
              </w:rPr>
              <w:t>与著名的技术建筑设备规划公司</w:t>
            </w:r>
            <w:r>
              <w:rPr>
                <w:rFonts w:ascii="宋体" w:hAnsi="宋体" w:cs="宋体" w:hint="eastAsia"/>
                <w:sz w:val="24"/>
                <w:szCs w:val="24"/>
                <w:lang w:val="de-AT"/>
              </w:rPr>
              <w:t>rtech Engineering</w:t>
            </w:r>
            <w:r>
              <w:rPr>
                <w:rFonts w:ascii="宋体" w:hAnsi="宋体" w:cs="宋体" w:hint="eastAsia"/>
                <w:sz w:val="24"/>
                <w:szCs w:val="24"/>
              </w:rPr>
              <w:t>有着密切合作。我们共同为全球的建设项目和建筑实践提供定制的BIM解决方案。专业服务涵盖从创建和维护5D模型到协调BIM项目以及将BIM纳入现有工作流程等方面。此外，我们还聚焦于数字孪生产品的开发，使我们的客户能够以虚拟形式精确地将其建筑和技术基础设施可视化并进行优化。</w:t>
            </w:r>
          </w:p>
        </w:tc>
      </w:tr>
      <w:tr w:rsidR="00671CE4" w:rsidTr="00F721B6">
        <w:trPr>
          <w:trHeight w:val="634"/>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3</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IBO—奥地利建筑生物学与生态学研究所</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建筑生物学与生态学</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lang w:val="de-AT"/>
              </w:rPr>
              <w:t>IBO—奥地利建筑生物学与生态学研究所是一个独立的、非营利性的科学协会，研究人类、建筑与环境之间的相互作用。关心生态建筑和健康生活的个人、专家和企业可以通过加入会员来支持IBO。</w:t>
            </w:r>
            <w:r>
              <w:rPr>
                <w:rFonts w:ascii="宋体" w:hAnsi="宋体" w:cs="宋体" w:hint="eastAsia"/>
                <w:sz w:val="24"/>
                <w:szCs w:val="24"/>
              </w:rPr>
              <w:t>该</w:t>
            </w:r>
            <w:r>
              <w:rPr>
                <w:rFonts w:ascii="宋体" w:hAnsi="宋体" w:cs="宋体" w:hint="eastAsia"/>
                <w:sz w:val="24"/>
                <w:szCs w:val="24"/>
                <w:lang w:val="de-AT"/>
              </w:rPr>
              <w:t xml:space="preserve">研究所成立于1997年。除科研和知识传播外，IBO各部门还提供广泛的服务，如材料生态学（产品测试、建筑材料生命周期评估和环境产品声明、建筑产品管理）；建筑评估；建筑物理学（建筑结构和建设方法、建筑模拟、隔声和声学、潮湿损害）和测量（声音测量、湿度测量、舒适度测量）。 </w:t>
            </w:r>
          </w:p>
        </w:tc>
      </w:tr>
      <w:tr w:rsidR="00671CE4" w:rsidTr="00F721B6">
        <w:trPr>
          <w:trHeight w:val="2992"/>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lastRenderedPageBreak/>
              <w:t>4</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en-GB"/>
              </w:rPr>
              <w:t>平行结构</w:t>
            </w:r>
            <w:r>
              <w:rPr>
                <w:rFonts w:ascii="宋体" w:hAnsi="宋体" w:cs="宋体" w:hint="eastAsia"/>
                <w:sz w:val="24"/>
                <w:szCs w:val="24"/>
                <w:lang w:val="de-AT"/>
              </w:rPr>
              <w:t>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可回收材料平台及高速3D打印系统</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该项目核心技术包括一个可回收材料平台，可以根据填充物（废弃物材料）和粘</w:t>
            </w:r>
            <w:r>
              <w:rPr>
                <w:rFonts w:ascii="宋体" w:hAnsi="宋体" w:cs="宋体" w:hint="eastAsia"/>
                <w:sz w:val="24"/>
                <w:szCs w:val="24"/>
                <w:lang w:val="en-GB"/>
              </w:rPr>
              <w:t>合</w:t>
            </w:r>
            <w:r>
              <w:rPr>
                <w:rFonts w:ascii="宋体" w:hAnsi="宋体" w:cs="宋体" w:hint="eastAsia"/>
                <w:sz w:val="24"/>
                <w:szCs w:val="24"/>
              </w:rPr>
              <w:t>剂含量制造不同的产品。第一类可回收产品包括模具制造、压印常规组件、隔音板、3D室内墙板、自由曲面外墙等。另一类是我们专门为废弃材料设计的高速3D打印系统。这种3D打印工艺目前在建筑行业具有最佳的分辨率和产品质量。</w:t>
            </w:r>
          </w:p>
        </w:tc>
      </w:tr>
      <w:tr w:rsidR="00671CE4" w:rsidTr="00F721B6">
        <w:trPr>
          <w:trHeight w:val="3723"/>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5</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雷格激光测量系统有限公司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3D激光扫描设备</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 xml:space="preserve">雷格是一家全球领先的先进技术供应商，提供飞行、移动、地面、无人机载、工业和地形测深激光扫描解决方案。雷格商业化生产激光雷达系统已长达近40年，聚焦于多波长脉冲飞行时间激光雷达技术。雷格的核心智能波形技术提供纯数字化的激光雷达信号处理，这是一种独特的解决距离模糊性的方法，每次激光射击多个目标，然后合理地进行分布测量，再校准幅度，估算反射率，最终系统进行无缝集成和校准。 </w:t>
            </w:r>
          </w:p>
        </w:tc>
      </w:tr>
      <w:tr w:rsidR="00671CE4" w:rsidTr="00F721B6">
        <w:trPr>
          <w:trHeight w:val="2636"/>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6</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鲁布纳木材建筑有限公司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高性能木材</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Rubner是一家欧洲领先的高性能木材工程公司，在奥地利、意大利、德国和法国均设有生产设施。我们的生产能力可达到85000立方米的胶合木组件、10000平方米的交叉层压木材和25万平方米的屋顶和墙体元件。所有木材均来源于可持续化管理的森林，并获得了PEFC（森林认证认可计划）认证。</w:t>
            </w:r>
          </w:p>
        </w:tc>
      </w:tr>
      <w:tr w:rsidR="00671CE4" w:rsidTr="00F721B6">
        <w:trPr>
          <w:trHeight w:val="644"/>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7</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eastAsia="de-AT"/>
              </w:rPr>
              <w:t>SE</w:t>
            </w:r>
            <w:r>
              <w:rPr>
                <w:rFonts w:ascii="宋体" w:hAnsi="宋体" w:cs="宋体" w:hint="eastAsia"/>
                <w:sz w:val="24"/>
                <w:szCs w:val="24"/>
              </w:rPr>
              <w:t>轨道</w:t>
            </w:r>
            <w:r>
              <w:rPr>
                <w:rFonts w:ascii="宋体" w:hAnsi="宋体" w:cs="宋体" w:hint="eastAsia"/>
                <w:sz w:val="24"/>
                <w:szCs w:val="24"/>
                <w:lang w:val="de-AT"/>
              </w:rPr>
              <w:t>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开创性单轨系统</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SKYEXPRESS推出的开创性单轨系统，重新定义了未来的交通。我们的创新技术能够提供无与伦比的灵活性、运载能力和可持续性。利用先进的轨道系统和自主控制，SKYEXPRESS可以提供无缝衔接的公共和货物运输解决方案。我们有载客量不同的多种舱室，可容纳 3 到 30 人，整套系统在满足不同需求的同时最大限度地减少对环境的影响。类似于环形交通枢纽的集成环形分流设施可确保交通流量的高</w:t>
            </w:r>
            <w:r>
              <w:rPr>
                <w:rFonts w:ascii="宋体" w:hAnsi="宋体" w:cs="宋体" w:hint="eastAsia"/>
                <w:sz w:val="24"/>
                <w:szCs w:val="24"/>
              </w:rPr>
              <w:lastRenderedPageBreak/>
              <w:t>效性和连接性，并优化整体的交通网络。</w:t>
            </w:r>
          </w:p>
        </w:tc>
      </w:tr>
      <w:tr w:rsidR="00671CE4" w:rsidTr="00F721B6">
        <w:trPr>
          <w:trHeight w:val="2712"/>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lastRenderedPageBreak/>
              <w:t>8</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影图技术有限公司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影图数字化技术</w:t>
            </w:r>
          </w:p>
        </w:tc>
        <w:tc>
          <w:tcPr>
            <w:tcW w:w="4272" w:type="dxa"/>
          </w:tcPr>
          <w:p w:rsidR="00671CE4" w:rsidRDefault="00671CE4" w:rsidP="00F721B6">
            <w:pPr>
              <w:widowControl/>
              <w:jc w:val="left"/>
              <w:rPr>
                <w:rFonts w:ascii="宋体" w:hAnsi="宋体" w:cs="宋体"/>
                <w:sz w:val="24"/>
                <w:szCs w:val="24"/>
              </w:rPr>
            </w:pPr>
            <w:r>
              <w:rPr>
                <w:rFonts w:ascii="宋体" w:hAnsi="宋体" w:cs="宋体" w:hint="eastAsia"/>
                <w:sz w:val="24"/>
                <w:szCs w:val="24"/>
              </w:rPr>
              <w:t>Shadowmap是一个全球化的、快速且可靠的整合工具，用于太阳光和阴影的可视化。基于全球范围内的3D建筑和地形数据，我们致力于为与太阳照射相关的任何问题提供最佳答案，无论在地球的任何时刻，任何地点。基于拟真的3D数据和太阳在天空中的时变位置，可在智能手机、平板电脑或网络浏览器上即时获取建筑、地形3D可视化结果。</w:t>
            </w:r>
          </w:p>
        </w:tc>
      </w:tr>
      <w:tr w:rsidR="00671CE4" w:rsidTr="00F721B6">
        <w:trPr>
          <w:trHeight w:val="2508"/>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9</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虚拟维度有限公司</w:t>
            </w:r>
          </w:p>
        </w:tc>
        <w:tc>
          <w:tcPr>
            <w:tcW w:w="2066" w:type="dxa"/>
            <w:vAlign w:val="center"/>
          </w:tcPr>
          <w:p w:rsidR="00671CE4" w:rsidRDefault="00671CE4" w:rsidP="00F721B6">
            <w:pPr>
              <w:widowControl/>
              <w:jc w:val="center"/>
              <w:rPr>
                <w:rFonts w:ascii="宋体" w:hAnsi="宋体" w:cs="宋体"/>
                <w:sz w:val="24"/>
                <w:szCs w:val="24"/>
              </w:rPr>
            </w:pPr>
            <w:r>
              <w:rPr>
                <w:rFonts w:ascii="宋体" w:hAnsi="宋体" w:cs="宋体" w:hint="eastAsia"/>
                <w:kern w:val="2"/>
                <w:sz w:val="24"/>
                <w:szCs w:val="24"/>
              </w:rPr>
              <w:t>建筑信息模型（BIM）</w:t>
            </w:r>
          </w:p>
        </w:tc>
        <w:tc>
          <w:tcPr>
            <w:tcW w:w="4272" w:type="dxa"/>
            <w:vAlign w:val="center"/>
          </w:tcPr>
          <w:p w:rsidR="00671CE4" w:rsidRDefault="00671CE4" w:rsidP="00F721B6">
            <w:pPr>
              <w:widowControl/>
              <w:rPr>
                <w:rFonts w:ascii="宋体" w:hAnsi="宋体" w:cs="宋体"/>
                <w:sz w:val="24"/>
                <w:szCs w:val="24"/>
              </w:rPr>
            </w:pPr>
            <w:r>
              <w:rPr>
                <w:rFonts w:ascii="宋体" w:hAnsi="宋体" w:cs="宋体" w:hint="eastAsia"/>
                <w:sz w:val="24"/>
                <w:szCs w:val="24"/>
              </w:rPr>
              <w:t>通过Amrax的Metaroom应用程序，用户可以在几分钟内使用iPhone或iPad扫描整栋建筑，并获取BIM（建筑信息模型）软件的3D数字孪生模型。用户可使用iPhone或iPad创建精准且参数化的3D房间模型，并将其应用于各种CAD程序。</w:t>
            </w:r>
          </w:p>
        </w:tc>
      </w:tr>
      <w:tr w:rsidR="00671CE4" w:rsidTr="00F721B6">
        <w:trPr>
          <w:trHeight w:val="3099"/>
          <w:jc w:val="center"/>
        </w:trPr>
        <w:tc>
          <w:tcPr>
            <w:tcW w:w="71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rPr>
              <w:t>10</w:t>
            </w:r>
          </w:p>
        </w:tc>
        <w:tc>
          <w:tcPr>
            <w:tcW w:w="1896" w:type="dxa"/>
            <w:vAlign w:val="center"/>
          </w:tcPr>
          <w:p w:rsidR="00671CE4" w:rsidRDefault="00671CE4" w:rsidP="00F721B6">
            <w:pPr>
              <w:widowControl/>
              <w:jc w:val="center"/>
              <w:rPr>
                <w:rFonts w:ascii="宋体" w:hAnsi="宋体" w:cs="宋体"/>
                <w:sz w:val="24"/>
                <w:szCs w:val="24"/>
              </w:rPr>
            </w:pPr>
            <w:r>
              <w:rPr>
                <w:rFonts w:ascii="宋体" w:hAnsi="宋体" w:cs="宋体" w:hint="eastAsia"/>
                <w:sz w:val="24"/>
                <w:szCs w:val="24"/>
                <w:lang w:val="de-AT"/>
              </w:rPr>
              <w:t>维也纳咨询工程</w:t>
            </w:r>
            <w:r>
              <w:rPr>
                <w:rFonts w:ascii="宋体" w:hAnsi="宋体" w:cs="宋体" w:hint="eastAsia"/>
                <w:sz w:val="24"/>
                <w:szCs w:val="24"/>
              </w:rPr>
              <w:t xml:space="preserve"> ZT </w:t>
            </w:r>
            <w:r>
              <w:rPr>
                <w:rFonts w:ascii="宋体" w:hAnsi="宋体" w:cs="宋体" w:hint="eastAsia"/>
                <w:sz w:val="24"/>
                <w:szCs w:val="24"/>
                <w:lang w:val="de-AT"/>
              </w:rPr>
              <w:t>有限公司</w:t>
            </w:r>
          </w:p>
        </w:tc>
        <w:tc>
          <w:tcPr>
            <w:tcW w:w="2066" w:type="dxa"/>
            <w:vAlign w:val="center"/>
          </w:tcPr>
          <w:p w:rsidR="00671CE4" w:rsidRDefault="00671CE4" w:rsidP="00F721B6">
            <w:pPr>
              <w:widowControl/>
              <w:rPr>
                <w:rFonts w:ascii="宋体" w:hAnsi="宋体" w:cs="宋体"/>
                <w:sz w:val="24"/>
                <w:szCs w:val="24"/>
              </w:rPr>
            </w:pPr>
            <w:r>
              <w:rPr>
                <w:rFonts w:ascii="宋体" w:hAnsi="宋体" w:cs="宋体" w:hint="eastAsia"/>
                <w:sz w:val="24"/>
                <w:szCs w:val="24"/>
              </w:rPr>
              <w:t>建筑工程结构数字化管理与评估</w:t>
            </w:r>
          </w:p>
        </w:tc>
        <w:tc>
          <w:tcPr>
            <w:tcW w:w="4272" w:type="dxa"/>
            <w:vAlign w:val="center"/>
          </w:tcPr>
          <w:p w:rsidR="00671CE4" w:rsidRDefault="00671CE4" w:rsidP="00F721B6">
            <w:pPr>
              <w:widowControl/>
              <w:rPr>
                <w:rFonts w:ascii="宋体" w:hAnsi="宋体" w:cs="宋体"/>
                <w:sz w:val="24"/>
                <w:szCs w:val="24"/>
              </w:rPr>
            </w:pPr>
            <w:bookmarkStart w:id="0" w:name="_Hlk160180554"/>
            <w:r>
              <w:rPr>
                <w:rFonts w:ascii="宋体" w:hAnsi="宋体" w:cs="宋体" w:hint="eastAsia"/>
                <w:noProof/>
                <w:sz w:val="24"/>
                <w:szCs w:val="24"/>
              </w:rPr>
              <mc:AlternateContent>
                <mc:Choice Requires="wpg">
                  <w:drawing>
                    <wp:anchor distT="0" distB="0" distL="114300" distR="114300" simplePos="0" relativeHeight="251659264" behindDoc="0" locked="0" layoutInCell="1" allowOverlap="1" wp14:anchorId="246F75BE" wp14:editId="6304BA3C">
                      <wp:simplePos x="0" y="0"/>
                      <wp:positionH relativeFrom="page">
                        <wp:posOffset>4953000</wp:posOffset>
                      </wp:positionH>
                      <wp:positionV relativeFrom="paragraph">
                        <wp:posOffset>22860</wp:posOffset>
                      </wp:positionV>
                      <wp:extent cx="2484120" cy="7677785"/>
                      <wp:effectExtent l="0" t="0" r="5080" b="5715"/>
                      <wp:wrapNone/>
                      <wp:docPr id="2" name="Group 12"/>
                      <wp:cNvGraphicFramePr/>
                      <a:graphic xmlns:a="http://schemas.openxmlformats.org/drawingml/2006/main">
                        <a:graphicData uri="http://schemas.microsoft.com/office/word/2010/wordprocessingGroup">
                          <wpg:wgp>
                            <wpg:cNvGrpSpPr/>
                            <wpg:grpSpPr>
                              <a:xfrm>
                                <a:off x="0" y="0"/>
                                <a:ext cx="2484120" cy="7677785"/>
                                <a:chOff x="7710" y="166"/>
                                <a:chExt cx="3912" cy="12586"/>
                              </a:xfrm>
                            </wpg:grpSpPr>
                            <wps:wsp>
                              <wps:cNvPr id="1986990715" name="Rectangle 15"/>
                              <wps:cNvSpPr/>
                              <wps:spPr bwMode="auto">
                                <a:xfrm>
                                  <a:off x="7710" y="166"/>
                                  <a:ext cx="3912" cy="12586"/>
                                </a:xfrm>
                                <a:prstGeom prst="rect">
                                  <a:avLst/>
                                </a:prstGeom>
                                <a:solidFill>
                                  <a:srgbClr val="E9ECF0"/>
                                </a:solidFill>
                                <a:ln>
                                  <a:noFill/>
                                </a:ln>
                              </wps:spPr>
                              <wps:bodyPr rot="0" vert="horz" wrap="square" lIns="91440" tIns="45720" rIns="91440" bIns="45720" anchor="t" anchorCtr="0" upright="1">
                                <a:noAutofit/>
                              </wps:bodyPr>
                            </wps:wsp>
                            <wps:wsp>
                              <wps:cNvPr id="113" name="Text Box 13"/>
                              <wps:cNvSpPr txBox="1"/>
                              <wps:spPr bwMode="auto">
                                <a:xfrm>
                                  <a:off x="7710" y="8577"/>
                                  <a:ext cx="3912" cy="3920"/>
                                </a:xfrm>
                                <a:prstGeom prst="rect">
                                  <a:avLst/>
                                </a:prstGeom>
                                <a:noFill/>
                                <a:ln>
                                  <a:noFill/>
                                </a:ln>
                              </wps:spPr>
                              <wps:txbx>
                                <w:txbxContent>
                                  <w:p w:rsidR="00671CE4" w:rsidRDefault="00671CE4" w:rsidP="00671CE4">
                                    <w:pPr>
                                      <w:spacing w:before="1" w:line="278" w:lineRule="auto"/>
                                      <w:ind w:left="368" w:right="991"/>
                                      <w:rPr>
                                        <w:rFonts w:ascii="微软雅黑" w:eastAsia="微软雅黑" w:hAnsi="微软雅黑"/>
                                        <w:b/>
                                      </w:rPr>
                                    </w:pPr>
                                    <w:r>
                                      <w:rPr>
                                        <w:rFonts w:ascii="微软雅黑" w:eastAsia="微软雅黑" w:hAnsi="微软雅黑"/>
                                        <w:b/>
                                      </w:rPr>
                                      <w:t>尤尔根</w:t>
                                    </w:r>
                                    <w:r>
                                      <w:rPr>
                                        <w:b/>
                                      </w:rPr>
                                      <w:t>·</w:t>
                                    </w:r>
                                    <w:r>
                                      <w:rPr>
                                        <w:rFonts w:ascii="微软雅黑" w:eastAsia="微软雅黑" w:hAnsi="微软雅黑" w:hint="eastAsia"/>
                                        <w:b/>
                                      </w:rPr>
                                      <w:t>拉顿伯格</w:t>
                                    </w:r>
                                  </w:p>
                                  <w:p w:rsidR="00671CE4" w:rsidRDefault="00671CE4" w:rsidP="00671CE4">
                                    <w:pPr>
                                      <w:spacing w:line="280" w:lineRule="auto"/>
                                      <w:ind w:left="368" w:right="546"/>
                                      <w:rPr>
                                        <w:sz w:val="20"/>
                                        <w:lang w:val="de-AT"/>
                                      </w:rPr>
                                    </w:pPr>
                                    <w:r>
                                      <w:rPr>
                                        <w:rFonts w:ascii="微软雅黑" w:eastAsia="微软雅黑" w:hAnsi="微软雅黑"/>
                                        <w:sz w:val="20"/>
                                      </w:rPr>
                                      <w:t>创新</w:t>
                                    </w:r>
                                    <w:r>
                                      <w:rPr>
                                        <w:rFonts w:ascii="微软雅黑" w:eastAsia="微软雅黑" w:hAnsi="微软雅黑" w:hint="eastAsia"/>
                                        <w:sz w:val="20"/>
                                      </w:rPr>
                                      <w:t>管理</w:t>
                                    </w: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left="368" w:right="546"/>
                                      <w:rPr>
                                        <w:rFonts w:ascii="微软雅黑" w:eastAsia="微软雅黑" w:hAnsi="微软雅黑" w:cs="微软雅黑"/>
                                        <w:sz w:val="20"/>
                                        <w:lang w:val="de-AT"/>
                                      </w:rPr>
                                    </w:pPr>
                                    <w:r>
                                      <w:rPr>
                                        <w:rFonts w:ascii="微软雅黑" w:eastAsia="微软雅黑" w:hAnsi="微软雅黑" w:cs="微软雅黑"/>
                                        <w:sz w:val="20"/>
                                      </w:rPr>
                                      <w:t>奥地利</w:t>
                                    </w:r>
                                    <w:r>
                                      <w:rPr>
                                        <w:rFonts w:ascii="微软雅黑" w:eastAsia="微软雅黑" w:hAnsi="微软雅黑" w:cs="微软雅黑" w:hint="eastAsia"/>
                                        <w:sz w:val="20"/>
                                      </w:rPr>
                                      <w:t>科技日</w:t>
                                    </w:r>
                                    <w:r>
                                      <w:rPr>
                                        <w:rFonts w:ascii="微软雅黑" w:eastAsia="微软雅黑" w:hAnsi="微软雅黑" w:cs="微软雅黑" w:hint="eastAsia"/>
                                        <w:sz w:val="20"/>
                                        <w:lang w:val="de-AT"/>
                                      </w:rPr>
                                      <w:t>B</w:t>
                                    </w:r>
                                    <w:r>
                                      <w:rPr>
                                        <w:rFonts w:ascii="微软雅黑" w:eastAsia="微软雅黑" w:hAnsi="微软雅黑" w:cs="微软雅黑"/>
                                        <w:sz w:val="20"/>
                                        <w:lang w:val="de-AT"/>
                                      </w:rPr>
                                      <w:t>2Match</w:t>
                                    </w:r>
                                    <w:r>
                                      <w:rPr>
                                        <w:rFonts w:ascii="微软雅黑" w:eastAsia="微软雅黑" w:hAnsi="微软雅黑" w:cs="微软雅黑" w:hint="eastAsia"/>
                                        <w:sz w:val="20"/>
                                      </w:rPr>
                                      <w:t>、企业信息及市场</w:t>
                                    </w:r>
                                    <w:r>
                                      <w:rPr>
                                        <w:rFonts w:ascii="微软雅黑" w:eastAsia="微软雅黑" w:hAnsi="微软雅黑" w:cs="微软雅黑" w:hint="eastAsia"/>
                                        <w:sz w:val="20"/>
                                        <w:lang w:val="de-AT"/>
                                      </w:rPr>
                                      <w:t>：</w:t>
                                    </w:r>
                                  </w:p>
                                  <w:p w:rsidR="00671CE4" w:rsidRDefault="00671CE4" w:rsidP="00671CE4">
                                    <w:pPr>
                                      <w:spacing w:line="280" w:lineRule="auto"/>
                                      <w:ind w:left="368" w:right="546"/>
                                      <w:rPr>
                                        <w:sz w:val="20"/>
                                        <w:lang w:val="de-AT"/>
                                      </w:rPr>
                                    </w:pPr>
                                    <w:hyperlink r:id="rId6" w:history="1">
                                      <w:r>
                                        <w:rPr>
                                          <w:rStyle w:val="a6"/>
                                          <w:sz w:val="20"/>
                                          <w:lang w:val="de-AT"/>
                                        </w:rPr>
                                        <w:t>https://atd-cn-hk.b2match.io/participants/23</w:t>
                                      </w:r>
                                    </w:hyperlink>
                                  </w:p>
                                  <w:p w:rsidR="00671CE4" w:rsidRDefault="00671CE4" w:rsidP="00671CE4">
                                    <w:pPr>
                                      <w:spacing w:line="280" w:lineRule="auto"/>
                                      <w:ind w:left="368" w:right="546"/>
                                      <w:rPr>
                                        <w:sz w:val="20"/>
                                        <w:lang w:val="de-AT"/>
                                      </w:rPr>
                                    </w:pPr>
                                  </w:p>
                                </w:txbxContent>
                              </wps:txbx>
                              <wps:bodyPr rot="0" vert="horz" wrap="square" lIns="0" tIns="0" rIns="0" bIns="0" anchor="t" anchorCtr="0" upright="1">
                                <a:noAutofit/>
                              </wps:bodyPr>
                            </wps:wsp>
                          </wpg:wgp>
                        </a:graphicData>
                      </a:graphic>
                    </wp:anchor>
                  </w:drawing>
                </mc:Choice>
                <mc:Fallback>
                  <w:pict>
                    <v:group w14:anchorId="246F75BE" id="Group 12" o:spid="_x0000_s1026" style="position:absolute;left:0;text-align:left;margin-left:390pt;margin-top:1.8pt;width:195.6pt;height:604.55pt;z-index:251659264;mso-position-horizontal-relative:page" coordorigin="7710,166" coordsize="3912,1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">
                      <v:rect id="Rectangle 15" o:spid="_x0000_s1027" style="position:absolute;left:7710;top:166;width:3912;height:1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WC8gA&#10;AADjAAAADwAAAGRycy9kb3ducmV2LnhtbERPzWrCQBC+F/oOyxS8FN1V0ZjUVVpB8CCImktvQ3aa&#10;hGZnQ3bV+PbdguBxvv9ZrnvbiCt1vnasYTxSIIgLZ2ouNeTn7XABwgdkg41j0nAnD+vV68sSM+Nu&#10;fKTrKZQihrDPUEMVQptJ6YuKLPqRa4kj9+M6iyGeXSlNh7cYbhs5UWouLdYcGypsaVNR8Xu6WA3J&#10;LikPX3I2Pe9D+p1fJvnxfaO0Hrz1nx8gAvXhKX64dybOTxfzNFXJeAb/P0UA5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dYLyAAAAOMAAAAPAAAAAAAAAAAAAAAAAJgCAABk&#10;cnMvZG93bnJldi54bWxQSwUGAAAAAAQABAD1AAAAjQMAAAAA&#10;" fillcolor="#e9ecf0" stroked="f"/>
                      <v:shapetype id="_x0000_t202" coordsize="21600,21600" o:spt="202" path="m,l,21600r21600,l21600,xe">
                        <v:stroke joinstyle="miter"/>
                        <v:path gradientshapeok="t" o:connecttype="rect"/>
                      </v:shapetype>
                      <v:shape id="Text Box 13" o:spid="_x0000_s1028" type="#_x0000_t202" style="position:absolute;left:7710;top:8577;width:3912;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671CE4" w:rsidRDefault="00671CE4" w:rsidP="00671CE4">
                              <w:pPr>
                                <w:spacing w:before="1" w:line="278" w:lineRule="auto"/>
                                <w:ind w:left="368" w:right="991"/>
                                <w:rPr>
                                  <w:rFonts w:ascii="微软雅黑" w:eastAsia="微软雅黑" w:hAnsi="微软雅黑"/>
                                  <w:b/>
                                </w:rPr>
                              </w:pPr>
                              <w:r>
                                <w:rPr>
                                  <w:rFonts w:ascii="微软雅黑" w:eastAsia="微软雅黑" w:hAnsi="微软雅黑"/>
                                  <w:b/>
                                </w:rPr>
                                <w:t>尤尔根</w:t>
                              </w:r>
                              <w:r>
                                <w:rPr>
                                  <w:b/>
                                </w:rPr>
                                <w:t>·</w:t>
                              </w:r>
                              <w:r>
                                <w:rPr>
                                  <w:rFonts w:ascii="微软雅黑" w:eastAsia="微软雅黑" w:hAnsi="微软雅黑" w:hint="eastAsia"/>
                                  <w:b/>
                                </w:rPr>
                                <w:t>拉顿伯格</w:t>
                              </w:r>
                            </w:p>
                            <w:p w:rsidR="00671CE4" w:rsidRDefault="00671CE4" w:rsidP="00671CE4">
                              <w:pPr>
                                <w:spacing w:line="280" w:lineRule="auto"/>
                                <w:ind w:left="368" w:right="546"/>
                                <w:rPr>
                                  <w:sz w:val="20"/>
                                  <w:lang w:val="de-AT"/>
                                </w:rPr>
                              </w:pPr>
                              <w:r>
                                <w:rPr>
                                  <w:rFonts w:ascii="微软雅黑" w:eastAsia="微软雅黑" w:hAnsi="微软雅黑"/>
                                  <w:sz w:val="20"/>
                                </w:rPr>
                                <w:t>创新</w:t>
                              </w:r>
                              <w:r>
                                <w:rPr>
                                  <w:rFonts w:ascii="微软雅黑" w:eastAsia="微软雅黑" w:hAnsi="微软雅黑" w:hint="eastAsia"/>
                                  <w:sz w:val="20"/>
                                </w:rPr>
                                <w:t>管理</w:t>
                              </w: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right="546"/>
                                <w:rPr>
                                  <w:sz w:val="20"/>
                                  <w:lang w:val="de-AT"/>
                                </w:rPr>
                              </w:pPr>
                            </w:p>
                            <w:p w:rsidR="00671CE4" w:rsidRDefault="00671CE4" w:rsidP="00671CE4">
                              <w:pPr>
                                <w:spacing w:line="280" w:lineRule="auto"/>
                                <w:ind w:left="368" w:right="546"/>
                                <w:rPr>
                                  <w:rFonts w:ascii="微软雅黑" w:eastAsia="微软雅黑" w:hAnsi="微软雅黑" w:cs="微软雅黑"/>
                                  <w:sz w:val="20"/>
                                  <w:lang w:val="de-AT"/>
                                </w:rPr>
                              </w:pPr>
                              <w:r>
                                <w:rPr>
                                  <w:rFonts w:ascii="微软雅黑" w:eastAsia="微软雅黑" w:hAnsi="微软雅黑" w:cs="微软雅黑"/>
                                  <w:sz w:val="20"/>
                                </w:rPr>
                                <w:t>奥地利</w:t>
                              </w:r>
                              <w:r>
                                <w:rPr>
                                  <w:rFonts w:ascii="微软雅黑" w:eastAsia="微软雅黑" w:hAnsi="微软雅黑" w:cs="微软雅黑" w:hint="eastAsia"/>
                                  <w:sz w:val="20"/>
                                </w:rPr>
                                <w:t>科技日</w:t>
                              </w:r>
                              <w:r>
                                <w:rPr>
                                  <w:rFonts w:ascii="微软雅黑" w:eastAsia="微软雅黑" w:hAnsi="微软雅黑" w:cs="微软雅黑" w:hint="eastAsia"/>
                                  <w:sz w:val="20"/>
                                  <w:lang w:val="de-AT"/>
                                </w:rPr>
                                <w:t>B</w:t>
                              </w:r>
                              <w:r>
                                <w:rPr>
                                  <w:rFonts w:ascii="微软雅黑" w:eastAsia="微软雅黑" w:hAnsi="微软雅黑" w:cs="微软雅黑"/>
                                  <w:sz w:val="20"/>
                                  <w:lang w:val="de-AT"/>
                                </w:rPr>
                                <w:t>2Match</w:t>
                              </w:r>
                              <w:r>
                                <w:rPr>
                                  <w:rFonts w:ascii="微软雅黑" w:eastAsia="微软雅黑" w:hAnsi="微软雅黑" w:cs="微软雅黑" w:hint="eastAsia"/>
                                  <w:sz w:val="20"/>
                                </w:rPr>
                                <w:t>、企业信息及市场</w:t>
                              </w:r>
                              <w:r>
                                <w:rPr>
                                  <w:rFonts w:ascii="微软雅黑" w:eastAsia="微软雅黑" w:hAnsi="微软雅黑" w:cs="微软雅黑" w:hint="eastAsia"/>
                                  <w:sz w:val="20"/>
                                  <w:lang w:val="de-AT"/>
                                </w:rPr>
                                <w:t>：</w:t>
                              </w:r>
                            </w:p>
                            <w:p w:rsidR="00671CE4" w:rsidRDefault="00671CE4" w:rsidP="00671CE4">
                              <w:pPr>
                                <w:spacing w:line="280" w:lineRule="auto"/>
                                <w:ind w:left="368" w:right="546"/>
                                <w:rPr>
                                  <w:sz w:val="20"/>
                                  <w:lang w:val="de-AT"/>
                                </w:rPr>
                              </w:pPr>
                              <w:hyperlink r:id="rId7" w:history="1">
                                <w:r>
                                  <w:rPr>
                                    <w:rStyle w:val="a6"/>
                                    <w:sz w:val="20"/>
                                    <w:lang w:val="de-AT"/>
                                  </w:rPr>
                                  <w:t>https://atd-cn-hk.b2match.io/participants/23</w:t>
                                </w:r>
                              </w:hyperlink>
                            </w:p>
                            <w:p w:rsidR="00671CE4" w:rsidRDefault="00671CE4" w:rsidP="00671CE4">
                              <w:pPr>
                                <w:spacing w:line="280" w:lineRule="auto"/>
                                <w:ind w:left="368" w:right="546"/>
                                <w:rPr>
                                  <w:sz w:val="20"/>
                                  <w:lang w:val="de-AT"/>
                                </w:rPr>
                              </w:pPr>
                            </w:p>
                          </w:txbxContent>
                        </v:textbox>
                      </v:shape>
                      <w10:wrap anchorx="page"/>
                    </v:group>
                  </w:pict>
                </mc:Fallback>
              </mc:AlternateContent>
            </w:r>
            <w:r>
              <w:rPr>
                <w:rFonts w:ascii="宋体" w:hAnsi="宋体" w:cs="宋体" w:hint="eastAsia"/>
                <w:sz w:val="24"/>
                <w:szCs w:val="24"/>
                <w:lang w:val="de-AT"/>
              </w:rPr>
              <w:t>VCE 维也纳咨询工程 ZT 有限公司</w:t>
            </w:r>
            <w:bookmarkEnd w:id="0"/>
            <w:r>
              <w:rPr>
                <w:rFonts w:ascii="宋体" w:hAnsi="宋体" w:cs="宋体" w:hint="eastAsia"/>
                <w:sz w:val="24"/>
                <w:szCs w:val="24"/>
                <w:lang w:val="de-AT"/>
              </w:rPr>
              <w:t>总部位于奥地利，是一家专注于高科技的独立咨询公司。</w:t>
            </w:r>
            <w:r>
              <w:rPr>
                <w:rFonts w:ascii="宋体" w:hAnsi="宋体" w:cs="宋体" w:hint="eastAsia"/>
                <w:sz w:val="24"/>
                <w:szCs w:val="24"/>
              </w:rPr>
              <w:t>公司主要有四大业务领域：运输领域（包括桥梁、隧道和铁路）；建筑和工业领域（一般设计和管理以及专业技术知识）；发展领域（包括研发、可行性研究和环境研究、金融工程及发展援助等）；结构健康识别（BRIMOS®）和生命周期工程。</w:t>
            </w:r>
          </w:p>
        </w:tc>
      </w:tr>
    </w:tbl>
    <w:p w:rsidR="00671CE4" w:rsidRDefault="00671CE4" w:rsidP="00671CE4">
      <w:pPr>
        <w:rPr>
          <w:rFonts w:ascii="Times New Roman" w:eastAsia="方正仿宋_GBK" w:hAnsi="Times New Roman" w:cs="Times New Roman"/>
          <w:sz w:val="28"/>
          <w:szCs w:val="28"/>
        </w:rPr>
      </w:pPr>
    </w:p>
    <w:p w:rsidR="0017678C" w:rsidRPr="00671CE4" w:rsidRDefault="006835DA">
      <w:bookmarkStart w:id="1" w:name="_GoBack"/>
      <w:bookmarkEnd w:id="1"/>
    </w:p>
    <w:sectPr w:rsidR="0017678C" w:rsidRPr="00671CE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DA" w:rsidRDefault="006835DA" w:rsidP="00671CE4">
      <w:r>
        <w:separator/>
      </w:r>
    </w:p>
  </w:endnote>
  <w:endnote w:type="continuationSeparator" w:id="0">
    <w:p w:rsidR="006835DA" w:rsidRDefault="006835DA" w:rsidP="0067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DA" w:rsidRDefault="006835DA" w:rsidP="00671CE4">
      <w:r>
        <w:separator/>
      </w:r>
    </w:p>
  </w:footnote>
  <w:footnote w:type="continuationSeparator" w:id="0">
    <w:p w:rsidR="006835DA" w:rsidRDefault="006835DA" w:rsidP="0067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0E"/>
    <w:rsid w:val="000E12D9"/>
    <w:rsid w:val="0040760E"/>
    <w:rsid w:val="00671CE4"/>
    <w:rsid w:val="006835DA"/>
    <w:rsid w:val="0071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BC2B5-F96C-4AC2-94CE-38653A3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71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CE4"/>
    <w:rPr>
      <w:sz w:val="18"/>
      <w:szCs w:val="18"/>
    </w:rPr>
  </w:style>
  <w:style w:type="paragraph" w:styleId="a4">
    <w:name w:val="footer"/>
    <w:basedOn w:val="a"/>
    <w:link w:val="Char0"/>
    <w:uiPriority w:val="99"/>
    <w:unhideWhenUsed/>
    <w:rsid w:val="00671CE4"/>
    <w:pPr>
      <w:tabs>
        <w:tab w:val="center" w:pos="4153"/>
        <w:tab w:val="right" w:pos="8306"/>
      </w:tabs>
      <w:snapToGrid w:val="0"/>
      <w:jc w:val="left"/>
    </w:pPr>
    <w:rPr>
      <w:sz w:val="18"/>
      <w:szCs w:val="18"/>
    </w:rPr>
  </w:style>
  <w:style w:type="character" w:customStyle="1" w:styleId="Char0">
    <w:name w:val="页脚 Char"/>
    <w:basedOn w:val="a0"/>
    <w:link w:val="a4"/>
    <w:uiPriority w:val="99"/>
    <w:rsid w:val="00671CE4"/>
    <w:rPr>
      <w:sz w:val="18"/>
      <w:szCs w:val="18"/>
    </w:rPr>
  </w:style>
  <w:style w:type="table" w:styleId="a5">
    <w:name w:val="Table Grid"/>
    <w:basedOn w:val="a1"/>
    <w:autoRedefine/>
    <w:uiPriority w:val="39"/>
    <w:qFormat/>
    <w:rsid w:val="00671CE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uiPriority w:val="99"/>
    <w:semiHidden/>
    <w:unhideWhenUsed/>
    <w:qFormat/>
    <w:rsid w:val="00671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d-cn-hk.b2match.io/participants/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d-cn-hk.b2match.io/participants/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dcterms:created xsi:type="dcterms:W3CDTF">2024-03-07T07:34:00Z</dcterms:created>
  <dcterms:modified xsi:type="dcterms:W3CDTF">2024-03-07T07:35:00Z</dcterms:modified>
</cp:coreProperties>
</file>