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0B" w:rsidRDefault="00D41C4D">
      <w:pPr>
        <w:snapToGrid w:val="0"/>
        <w:jc w:val="center"/>
        <w:rPr>
          <w:rFonts w:ascii="方正小标宋_GBK" w:eastAsia="方正小标宋_GBK"/>
          <w:sz w:val="44"/>
          <w:szCs w:val="44"/>
        </w:rPr>
      </w:pPr>
      <w:bookmarkStart w:id="0" w:name="_GoBack"/>
      <w:bookmarkEnd w:id="0"/>
      <w:r>
        <w:rPr>
          <w:rFonts w:ascii="方正小标宋_GBK" w:eastAsia="方正小标宋_GBK" w:hint="eastAsia"/>
          <w:sz w:val="44"/>
          <w:szCs w:val="44"/>
        </w:rPr>
        <w:t>2025</w:t>
      </w:r>
      <w:r>
        <w:rPr>
          <w:rFonts w:ascii="方正小标宋_GBK" w:eastAsia="方正小标宋_GBK" w:hint="eastAsia"/>
          <w:sz w:val="44"/>
          <w:szCs w:val="44"/>
        </w:rPr>
        <w:t>年新重庆青年创新人才项目拟立项清单</w:t>
      </w:r>
    </w:p>
    <w:p w:rsidR="00C8390B" w:rsidRDefault="00D41C4D">
      <w:pPr>
        <w:snapToGrid w:val="0"/>
        <w:jc w:val="center"/>
        <w:rPr>
          <w:rFonts w:ascii="方正小标宋_GBK" w:eastAsia="方正小标宋_GBK"/>
          <w:sz w:val="44"/>
          <w:szCs w:val="44"/>
        </w:rPr>
      </w:pPr>
      <w:r>
        <w:rPr>
          <w:rFonts w:ascii="方正楷体_GBK" w:eastAsia="方正楷体_GBK" w:hAnsi="方正楷体_GBK" w:cs="方正楷体_GBK" w:hint="eastAsia"/>
          <w:sz w:val="32"/>
          <w:szCs w:val="32"/>
        </w:rPr>
        <w:t>（排名不分先后）</w:t>
      </w:r>
    </w:p>
    <w:tbl>
      <w:tblPr>
        <w:tblStyle w:val="a3"/>
        <w:tblW w:w="14029" w:type="dxa"/>
        <w:jc w:val="center"/>
        <w:tblLayout w:type="fixed"/>
        <w:tblLook w:val="04A0" w:firstRow="1" w:lastRow="0" w:firstColumn="1" w:lastColumn="0" w:noHBand="0" w:noVBand="1"/>
      </w:tblPr>
      <w:tblGrid>
        <w:gridCol w:w="704"/>
        <w:gridCol w:w="7461"/>
        <w:gridCol w:w="4304"/>
        <w:gridCol w:w="1560"/>
      </w:tblGrid>
      <w:tr w:rsidR="00C8390B">
        <w:trPr>
          <w:trHeight w:val="564"/>
          <w:jc w:val="center"/>
        </w:trPr>
        <w:tc>
          <w:tcPr>
            <w:tcW w:w="704" w:type="dxa"/>
            <w:vAlign w:val="center"/>
          </w:tcPr>
          <w:p w:rsidR="00C8390B" w:rsidRDefault="00D41C4D">
            <w:pPr>
              <w:spacing w:line="400" w:lineRule="exact"/>
              <w:jc w:val="center"/>
              <w:rPr>
                <w:rFonts w:ascii="方正黑体_GBK" w:eastAsia="方正黑体_GBK"/>
                <w:sz w:val="24"/>
              </w:rPr>
            </w:pPr>
            <w:r>
              <w:rPr>
                <w:rFonts w:ascii="方正黑体_GBK" w:eastAsia="方正黑体_GBK" w:cs="Calibri" w:hint="eastAsia"/>
                <w:sz w:val="24"/>
              </w:rPr>
              <w:t>序号</w:t>
            </w:r>
          </w:p>
        </w:tc>
        <w:tc>
          <w:tcPr>
            <w:tcW w:w="7461" w:type="dxa"/>
            <w:vAlign w:val="center"/>
          </w:tcPr>
          <w:p w:rsidR="00C8390B" w:rsidRDefault="00D41C4D">
            <w:pPr>
              <w:spacing w:line="400" w:lineRule="exact"/>
              <w:jc w:val="center"/>
              <w:rPr>
                <w:rFonts w:ascii="方正黑体_GBK" w:eastAsia="方正黑体_GBK"/>
                <w:sz w:val="24"/>
              </w:rPr>
            </w:pPr>
            <w:r>
              <w:rPr>
                <w:rFonts w:ascii="方正黑体_GBK" w:eastAsia="方正黑体_GBK" w:cs="Calibri" w:hint="eastAsia"/>
                <w:sz w:val="24"/>
              </w:rPr>
              <w:t>项目名称</w:t>
            </w:r>
          </w:p>
        </w:tc>
        <w:tc>
          <w:tcPr>
            <w:tcW w:w="4304" w:type="dxa"/>
            <w:vAlign w:val="center"/>
          </w:tcPr>
          <w:p w:rsidR="00C8390B" w:rsidRDefault="00D41C4D">
            <w:pPr>
              <w:spacing w:line="400" w:lineRule="exact"/>
              <w:jc w:val="center"/>
              <w:rPr>
                <w:rFonts w:ascii="方正黑体_GBK" w:eastAsia="方正黑体_GBK"/>
                <w:sz w:val="24"/>
              </w:rPr>
            </w:pPr>
            <w:r>
              <w:rPr>
                <w:rFonts w:ascii="方正黑体_GBK" w:eastAsia="方正黑体_GBK" w:cs="Calibri" w:hint="eastAsia"/>
                <w:sz w:val="24"/>
              </w:rPr>
              <w:t>申报单位</w:t>
            </w:r>
          </w:p>
        </w:tc>
        <w:tc>
          <w:tcPr>
            <w:tcW w:w="1560" w:type="dxa"/>
            <w:vAlign w:val="center"/>
          </w:tcPr>
          <w:p w:rsidR="00C8390B" w:rsidRDefault="00D41C4D">
            <w:pPr>
              <w:spacing w:line="400" w:lineRule="exact"/>
              <w:jc w:val="center"/>
              <w:rPr>
                <w:rFonts w:ascii="方正黑体_GBK" w:eastAsia="方正黑体_GBK"/>
                <w:sz w:val="24"/>
              </w:rPr>
            </w:pPr>
            <w:r>
              <w:rPr>
                <w:rFonts w:ascii="方正黑体_GBK" w:eastAsia="方正黑体_GBK" w:cs="Calibri" w:hint="eastAsia"/>
                <w:sz w:val="24"/>
              </w:rPr>
              <w:t>项目负责人</w:t>
            </w:r>
          </w:p>
        </w:tc>
      </w:tr>
      <w:tr w:rsidR="00C8390B">
        <w:trPr>
          <w:trHeight w:val="526"/>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1</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端到端加密下车联网数据的隐私保护与内容监管技术</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陈泌文</w:t>
            </w:r>
          </w:p>
        </w:tc>
      </w:tr>
      <w:tr w:rsidR="00C8390B">
        <w:trPr>
          <w:trHeight w:val="577"/>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2</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反应堆裂变产物核贝塔谱与能级密度的核数据构建</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西南大学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王龙军</w:t>
            </w:r>
          </w:p>
        </w:tc>
      </w:tr>
      <w:tr w:rsidR="00C8390B">
        <w:trPr>
          <w:trHeight w:val="527"/>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3</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新能源汽车声品质主客观融合模型构建与智能诊断方法研究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吴飞</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4</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面向非规则动态环境的机</w:t>
            </w:r>
            <w:r>
              <w:rPr>
                <w:rFonts w:ascii="方正仿宋_GBK" w:eastAsia="方正仿宋_GBK" w:hAnsi="Times New Roman" w:cs="Calibri" w:hint="eastAsia"/>
                <w:sz w:val="24"/>
              </w:rPr>
              <w:t>-</w:t>
            </w:r>
            <w:r>
              <w:rPr>
                <w:rFonts w:ascii="方正仿宋_GBK" w:eastAsia="方正仿宋_GBK" w:hAnsi="Times New Roman" w:cs="Calibri" w:hint="eastAsia"/>
                <w:sz w:val="24"/>
              </w:rPr>
              <w:t>车协同三维安全语义地图构建方法研究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重庆邮电大学科技开发有限公司</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徐宗懿</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5</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临床场景下数智口腔个性化精准建模方法研究与技术应用</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重庆邮电大学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赵悦</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6</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基于场景触发条件的视觉问答安全评估方法研究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中汽院智能网联科技有限公司</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吴天舒</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7</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面向集成电路与精密制造工业的几何精密测量技术研究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重庆邮电大学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黎人溥</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8</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大范围自然灾害条件山区公路边坡灾情应急侦查与快速监测技术研究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招商局重庆交通科研设计院有限公司</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徐峰</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9</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智能网联汽车跨模态数据可信计算方法</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重庆邮电大学工业互联网研究院</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黄鑫</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10</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空调系统微生物污染智能感知与预警控制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重庆科技大学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刘炜</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11</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大语言模型多智能体增强的可信服务推荐研究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周魏</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12</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环境语义增强的智能制造通信感知一体化信道智能推演技术研究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重庆邮电大学空间通信研究院</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廖希</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13</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宽带光纤频率传输分配多参量自演化智能协同控制技术</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中国电子科技集团公司第四十四研究所</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张浩</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14</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面向高阶动态网络的演化动力学研究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西南大学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冯旻昱</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15</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复杂场景具身视觉伺服敏捷飞行技术</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江涛</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lastRenderedPageBreak/>
              <w:t>16</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非完备信息融合的空地协同智能系统的学习博弈决策研究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西南大学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李洪飞</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17</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智能网络空间下复杂数据的多粒度聚类理论与方法研究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重庆邮电大学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谢江</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18</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大电网异质图跨域表示学习方法</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西南大学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袁野</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19</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面向智能驾驶的红外夜视感知大模型</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重庆师范大学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刘乔</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20</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云边端智能协同的算力网络服务质量保障机理与方法研究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重庆邮电大学空间通信研究院</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李职杜</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21</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在役隧道结构预防性智能养护</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招商局重庆交通科研设计院有限公司</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刘秋卓</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22</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多主体复杂交互的</w:t>
            </w:r>
            <w:r>
              <w:rPr>
                <w:rFonts w:ascii="方正仿宋_GBK" w:eastAsia="方正仿宋_GBK" w:hAnsi="Times New Roman" w:cs="Calibri" w:hint="eastAsia"/>
                <w:sz w:val="24"/>
              </w:rPr>
              <w:t>P2P</w:t>
            </w:r>
            <w:r>
              <w:rPr>
                <w:rFonts w:ascii="方正仿宋_GBK" w:eastAsia="方正仿宋_GBK" w:hAnsi="Times New Roman" w:cs="Calibri" w:hint="eastAsia"/>
                <w:sz w:val="24"/>
              </w:rPr>
              <w:t>可信可靠能源最优交易机制研究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重庆理工大学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王爱娟</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23</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高光谱遥感图像特征学习与目标精确探测研究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重庆邮电大学空间通信研究院</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郭坦</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24</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非接触式精神压力评估关键技术研究及系统验证</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重庆邮电大学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王勇</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25</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高位远程滑坡涌浪灾害链成因机制与演化过程研究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重庆地质矿产研究院</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李思宇</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26</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基于情境认知增强的网络舆情引导大模型研究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重庆工商大学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郭智威</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27</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大模型驱动的地下立体道路系统运行韧性提升自主决策方法</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招商局重庆交通科研设计院有限公司</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俞山川</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28</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人工智能生成图像检测研究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重庆邮电大学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刘波</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29</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核孔蛋白在造血干细胞恶性转化中的功能解析及靶向干预</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重庆医科大学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陈哲</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30</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血小板介导的药物溶栓抵抗机制解析及工程化</w:t>
            </w:r>
            <w:r>
              <w:rPr>
                <w:rFonts w:ascii="方正仿宋_GBK" w:eastAsia="方正仿宋_GBK" w:hAnsi="Times New Roman" w:cs="Calibri" w:hint="eastAsia"/>
                <w:sz w:val="24"/>
              </w:rPr>
              <w:t>CAR-</w:t>
            </w:r>
            <w:r>
              <w:rPr>
                <w:rFonts w:ascii="方正仿宋_GBK" w:eastAsia="方正仿宋_GBK" w:hAnsi="Times New Roman" w:cs="Calibri" w:hint="eastAsia"/>
                <w:sz w:val="24"/>
              </w:rPr>
              <w:t>巨噬细胞免疫治疗策略研究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陆军军医大学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李浪</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31</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超分辨率显微成像技术</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重庆邮电大学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范骏超</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32</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G</w:t>
            </w:r>
            <w:r>
              <w:rPr>
                <w:rFonts w:ascii="方正仿宋_GBK" w:eastAsia="方正仿宋_GBK" w:hAnsi="Times New Roman" w:cs="Calibri" w:hint="eastAsia"/>
                <w:sz w:val="24"/>
              </w:rPr>
              <w:t>蛋白偶联受体</w:t>
            </w:r>
            <w:r>
              <w:rPr>
                <w:rFonts w:ascii="方正仿宋_GBK" w:eastAsia="方正仿宋_GBK" w:hAnsi="Times New Roman" w:cs="Calibri" w:hint="eastAsia"/>
                <w:sz w:val="24"/>
              </w:rPr>
              <w:t>GPR39</w:t>
            </w:r>
            <w:r>
              <w:rPr>
                <w:rFonts w:ascii="方正仿宋_GBK" w:eastAsia="方正仿宋_GBK" w:hAnsi="Times New Roman" w:cs="Calibri" w:hint="eastAsia"/>
                <w:sz w:val="24"/>
              </w:rPr>
              <w:t>减轻胆汁淤积肝损伤的作用及机制研究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陆军军医大学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张樑君</w:t>
            </w:r>
          </w:p>
        </w:tc>
      </w:tr>
      <w:tr w:rsidR="00C8390B">
        <w:trPr>
          <w:trHeight w:val="439"/>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33</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益生菌递送系统</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重庆大学附属三峡医院</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张坤</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34</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核自噬在胶质瘤恶性表型维持中的功能及靶向治疗策略</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陆军军医大学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罗韬</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lastRenderedPageBreak/>
              <w:t>35</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胶质母细胞瘤中</w:t>
            </w:r>
            <w:r>
              <w:rPr>
                <w:rFonts w:ascii="方正仿宋_GBK" w:eastAsia="方正仿宋_GBK" w:hAnsi="Times New Roman" w:cs="Calibri" w:hint="eastAsia"/>
                <w:sz w:val="24"/>
              </w:rPr>
              <w:t>CTSB</w:t>
            </w:r>
            <w:r>
              <w:rPr>
                <w:rFonts w:ascii="方正仿宋_GBK" w:eastAsia="方正仿宋_GBK" w:hAnsi="Times New Roman" w:cs="Calibri" w:hint="eastAsia"/>
                <w:sz w:val="24"/>
              </w:rPr>
              <w:t>介导的肿瘤</w:t>
            </w:r>
            <w:r>
              <w:rPr>
                <w:rFonts w:ascii="方正仿宋_GBK" w:eastAsia="方正仿宋_GBK" w:hAnsi="Times New Roman" w:cs="Calibri" w:hint="eastAsia"/>
                <w:sz w:val="24"/>
              </w:rPr>
              <w:t>-</w:t>
            </w:r>
            <w:r>
              <w:rPr>
                <w:rFonts w:ascii="方正仿宋_GBK" w:eastAsia="方正仿宋_GBK" w:hAnsi="Times New Roman" w:cs="Calibri" w:hint="eastAsia"/>
                <w:sz w:val="24"/>
              </w:rPr>
              <w:t>巨噬细胞互作机制与纳米递药协同免疫治疗研究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重庆西部智慧检验与数字医疗协同创新中心</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张豪</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36</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贻贝仿生生物粘合剂在口腔软硬组织修复中的作用机制研究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重庆医科大学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胡杉杉</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37</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基于新型单分子阵列的超灵敏多指标联合检测在西部高发重大疾病中的应用研究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中元汇吉生物技术股份有限公司</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姬成东</w:t>
            </w:r>
          </w:p>
        </w:tc>
      </w:tr>
      <w:tr w:rsidR="00C8390B">
        <w:trPr>
          <w:trHeight w:val="476"/>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38</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中枢</w:t>
            </w:r>
            <w:r>
              <w:rPr>
                <w:rFonts w:ascii="方正仿宋_GBK" w:eastAsia="方正仿宋_GBK" w:hAnsi="Times New Roman" w:cs="Calibri" w:hint="eastAsia"/>
                <w:sz w:val="24"/>
              </w:rPr>
              <w:t>-</w:t>
            </w:r>
            <w:r>
              <w:rPr>
                <w:rFonts w:ascii="方正仿宋_GBK" w:eastAsia="方正仿宋_GBK" w:hAnsi="Times New Roman" w:cs="Calibri" w:hint="eastAsia"/>
                <w:sz w:val="24"/>
              </w:rPr>
              <w:t>外周调控网络与能量代谢</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重庆医科大学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杨梦柳</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39</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基于油料资源和人工智能的母乳脂质仿生设计、制备与功效评估</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西南大学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陈科伟</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40</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皮层记忆细胞（</w:t>
            </w:r>
            <w:r>
              <w:rPr>
                <w:rFonts w:ascii="方正仿宋_GBK" w:eastAsia="方正仿宋_GBK" w:hAnsi="Times New Roman" w:cs="Calibri" w:hint="eastAsia"/>
                <w:sz w:val="24"/>
              </w:rPr>
              <w:t>HB</w:t>
            </w:r>
            <w:r>
              <w:rPr>
                <w:rFonts w:ascii="方正仿宋_GBK" w:eastAsia="方正仿宋_GBK" w:hAnsi="Times New Roman" w:cs="Calibri" w:hint="eastAsia"/>
                <w:sz w:val="24"/>
              </w:rPr>
              <w:t>细胞）的网络解析</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重庆医科大学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汪萌</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41</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脂代谢应激驱动的细胞骨架酰基化在肾透明细胞癌耐药调控中的机制研究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重庆医科大学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李雯</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42</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基于黄嘌呤氧化酶</w:t>
            </w:r>
            <w:r>
              <w:rPr>
                <w:rFonts w:ascii="方正仿宋_GBK" w:eastAsia="方正仿宋_GBK" w:hAnsi="Times New Roman" w:cs="Calibri" w:hint="eastAsia"/>
                <w:sz w:val="24"/>
              </w:rPr>
              <w:t>XOD</w:t>
            </w:r>
            <w:r>
              <w:rPr>
                <w:rFonts w:ascii="方正仿宋_GBK" w:eastAsia="方正仿宋_GBK" w:hAnsi="Times New Roman" w:cs="Calibri" w:hint="eastAsia"/>
                <w:sz w:val="24"/>
              </w:rPr>
              <w:t>的瓜馥木属植物中抗痛风生物碱成分的发现及其作用机制研究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西南大学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王国伟</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43</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细胞外囊泡检测新方法及临床应用</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重庆市中医院</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李新民</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44</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靶向“超级细菌”的增强型噬菌体疗法的基础与应用研究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陆军军医大学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钟秋</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45</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智慧抗体发现驱动的阿尔茨海默症高敏诊断的研究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重庆艾生斯生物工程有限公司</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宋其涛</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46</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GPRC5B</w:t>
            </w:r>
            <w:r>
              <w:rPr>
                <w:rFonts w:ascii="方正仿宋_GBK" w:eastAsia="方正仿宋_GBK" w:hAnsi="Times New Roman" w:cs="Calibri" w:hint="eastAsia"/>
                <w:sz w:val="24"/>
              </w:rPr>
              <w:t>在代谢相关脂肪性肝病中的作用机制研究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重庆大学附属三峡医院</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罗小河</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47</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声波调谐的可穿戴系统构建及其用于汗液激素动态监测策略研究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重庆市人民医院</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张洪</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48</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基于多组学的射血分数保留型心力衰竭诊疗新靶点研究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重庆医科大学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郭永正</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49</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AI</w:t>
            </w:r>
            <w:r>
              <w:rPr>
                <w:rFonts w:ascii="方正仿宋_GBK" w:eastAsia="方正仿宋_GBK" w:hAnsi="Times New Roman" w:cs="Calibri" w:hint="eastAsia"/>
                <w:sz w:val="24"/>
              </w:rPr>
              <w:t>辅助大豆抗性基因挖掘与工程化改造</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西南大学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孙新华</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50</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青少年抑郁症肠脑轴机制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重庆医科大学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滕腾</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lastRenderedPageBreak/>
              <w:t>51</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超大城市多病原传染病智能预警方法与应用</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重庆医科大学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王伟</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52</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基于纳米诱导邻近技术抑制肿瘤机械免疫检查点增效乳腺癌免疫治疗机制研究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重庆医科大学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谭米肖</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53</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细胞氨基酸感知调控机制及其在肿瘤发生中的作用</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陆军军医大学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向俊宇</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54</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肿瘤微环境动态重编程与调控机制研究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重庆大学附属三峡医院</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李鑫</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55</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家蚕强健性生理基础与分子改良</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西南大学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宋江波</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56</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氧化应激的组织二次打击机制与糖尿病靶器官损伤</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陆军军医大学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瞿华</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57</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膀胱癌耐药机制研究与临床增效策略</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重庆医科大学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李心远</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58</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NCOA5</w:t>
            </w:r>
            <w:r>
              <w:rPr>
                <w:rFonts w:ascii="方正仿宋_GBK" w:eastAsia="方正仿宋_GBK" w:hAnsi="Times New Roman" w:cs="Calibri" w:hint="eastAsia"/>
                <w:sz w:val="24"/>
              </w:rPr>
              <w:t>调控</w:t>
            </w:r>
            <w:r>
              <w:rPr>
                <w:rFonts w:ascii="方正仿宋_GBK" w:eastAsia="方正仿宋_GBK" w:hAnsi="Times New Roman" w:cs="Calibri" w:hint="eastAsia"/>
                <w:sz w:val="24"/>
              </w:rPr>
              <w:t>JNK1</w:t>
            </w:r>
            <w:r>
              <w:rPr>
                <w:rFonts w:ascii="方正仿宋_GBK" w:eastAsia="方正仿宋_GBK" w:hAnsi="Times New Roman" w:cs="Calibri" w:hint="eastAsia"/>
                <w:sz w:val="24"/>
              </w:rPr>
              <w:t>可变剪切抑制胃癌免疫逃逸的机制研究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金凤实验室</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李科</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59</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荣昌仔猪肠内稳态的免疫代谢调控机制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西南大学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夏耀耀</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60</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免疫力动态演进与</w:t>
            </w:r>
            <w:r>
              <w:rPr>
                <w:rFonts w:ascii="方正仿宋_GBK" w:eastAsia="方正仿宋_GBK" w:hAnsi="Times New Roman" w:cs="Calibri" w:hint="eastAsia"/>
                <w:sz w:val="24"/>
              </w:rPr>
              <w:t>GVHD</w:t>
            </w:r>
            <w:r>
              <w:rPr>
                <w:rFonts w:ascii="方正仿宋_GBK" w:eastAsia="方正仿宋_GBK" w:hAnsi="Times New Roman" w:cs="Calibri" w:hint="eastAsia"/>
                <w:sz w:val="24"/>
              </w:rPr>
              <w:t>调控策略研究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陆军军医大学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王筱淇</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61</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血小板与血栓形成的表观遗传机制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陆军军医大学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吴煌</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62</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核酸药物肝外靶向递送系统研究及临床转化探索</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重庆理工大学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唐亚琴</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63</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气候因子调控树木生长与木材发育的分子机制解析</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西南大学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魏洪彬</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64</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基于石墨烯调制器的集成式红外光谱成像技术研究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中国科学院重庆绿色智能技术研究院</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汤林龙</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65</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高性能半导体材料的理论设计与机理研究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杨小龙</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66</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医用可降解镁合金微管高精度成形与多目标性能智能调控</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重庆科技大学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彭鹏</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67</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超高温高性能高熵陶瓷的强韧化设计及应用研究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付涛</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68</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面向柔性智能终端高性能功能高分子复合材料制备及其性能研究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重庆文理学院</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柏栋予</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69</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磁修饰二维银纳米片外场偏转取向分布调控机理研究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哈尔滨工业大学重庆研究院</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周国相</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lastRenderedPageBreak/>
              <w:t>70</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大型飞行器结构件用高强铝合金均质化铸锭制备关键技术研究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西南铝业（集团）有限责任公司</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陈华标</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71</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先进航空复合材料湿热服役力学性能表征与演化精准预测研究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重庆交通大学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李莹</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72</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绿色安全高比能水系锌硫电池用新型功能化电解液设计及界面调控机制研究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重庆工商大学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古兴兴</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73</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基于高保真模型和高性能算法的镁合金凝固缺陷调控研究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张昂</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74</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电力系统真空开断多模式动作及智能诊断技术</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谭亚雄</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75</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面向动力电池健康管理的基座大语言模型研究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中国汽车工程研究院股份有限公司</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周晶晶</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76</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第四周期廉价过渡金属催化迁移偶联反应中金属迁移模式探究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重庆文理学院</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刘松</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77</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硫代谢微生物种间互作驱动环境生物膜汞甲基化的机制研究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西南大学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向玉萍</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78</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复合能场多材料电弧增材制造与绿色智能装备</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伊浩</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79</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环境机械能驱动的污染物自净化系统研究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重庆师范大学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陈杰</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80</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碳封存过程深部煤岩多场耦合渗流规律与稳定性评价方法研究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柳先锋</w:t>
            </w:r>
          </w:p>
        </w:tc>
      </w:tr>
      <w:tr w:rsidR="00C8390B">
        <w:trPr>
          <w:trHeight w:val="526"/>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81</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非平稳局地强风作用下光伏屋面抗风分析理论及设计方法研究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刘敏</w:t>
            </w:r>
          </w:p>
        </w:tc>
      </w:tr>
      <w:tr w:rsidR="00C8390B">
        <w:trPr>
          <w:trHeight w:val="90"/>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82</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热力工质蓄能调控理论与方法</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李期斌</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83</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高比容</w:t>
            </w:r>
            <w:r>
              <w:rPr>
                <w:rFonts w:ascii="方正仿宋_GBK" w:eastAsia="方正仿宋_GBK" w:hAnsi="Times New Roman" w:cs="Calibri" w:hint="eastAsia"/>
                <w:sz w:val="24"/>
              </w:rPr>
              <w:t>-</w:t>
            </w:r>
            <w:r>
              <w:rPr>
                <w:rFonts w:ascii="方正仿宋_GBK" w:eastAsia="方正仿宋_GBK" w:hAnsi="Times New Roman" w:cs="Calibri" w:hint="eastAsia"/>
                <w:sz w:val="24"/>
              </w:rPr>
              <w:t>快充型电极材料微</w:t>
            </w:r>
            <w:r>
              <w:rPr>
                <w:rFonts w:ascii="方正仿宋_GBK" w:eastAsia="方正仿宋_GBK" w:hAnsi="Times New Roman" w:cs="Calibri" w:hint="eastAsia"/>
                <w:sz w:val="24"/>
              </w:rPr>
              <w:t>/</w:t>
            </w:r>
            <w:r>
              <w:rPr>
                <w:rFonts w:ascii="方正仿宋_GBK" w:eastAsia="方正仿宋_GBK" w:hAnsi="Times New Roman" w:cs="Calibri" w:hint="eastAsia"/>
                <w:sz w:val="24"/>
              </w:rPr>
              <w:t>纳结构设计和界面调控</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重庆理工大学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胡忠利</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84</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盐湖水氯镁石资源清洁高值利用</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胡丽文</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85</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废水有机污染物低碳定向聚合</w:t>
            </w:r>
            <w:r>
              <w:rPr>
                <w:rFonts w:ascii="方正仿宋_GBK" w:eastAsia="方正仿宋_GBK" w:hAnsi="Times New Roman" w:cs="Calibri" w:hint="eastAsia"/>
                <w:sz w:val="24"/>
              </w:rPr>
              <w:t>-</w:t>
            </w:r>
            <w:r>
              <w:rPr>
                <w:rFonts w:ascii="方正仿宋_GBK" w:eastAsia="方正仿宋_GBK" w:hAnsi="Times New Roman" w:cs="Calibri" w:hint="eastAsia"/>
                <w:sz w:val="24"/>
              </w:rPr>
              <w:t>资源化协同处理及生态风险控制研究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陈飞</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86</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低空飞行器超轻超薄壁元器件冰声精密智造及装备</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西南大学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蔡维</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87</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氧化还原拓扑电容材料体系构建及其储能机理的研究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中国科学院重庆绿色智能技术研究院</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李振湖</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lastRenderedPageBreak/>
              <w:t>88</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新一代同轴电驱动平台技术开发及应用</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深蓝汽车科技有限公司</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彭钱磊</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89</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电动车辆分布式高速同轴电驱动系统振动机理与集成设计</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重庆理工大学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葛帅帅</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90</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碳载双单原子配位微环境与氧电极多相界面动态过程的关联机制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重庆理工大学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胡小林</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91</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工业油气治理及净化器组件优化</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重庆工商大学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李宇涵</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92</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多组分异质粉体模压成形梯度功能构件关键技术及装备</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重庆江东机械有限责任公司</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刘雪飞</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93</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飞秒等离子体精密检测与加工研究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华东师范大学重庆研究院</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胡梦云</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94</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适应气候变化的风电场智能实时协同控制研究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李天</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95</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超大城市水系统碳足迹核算与多尺度协同减排研究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中国科学院重庆绿色智能技术研究院</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鲁伦慧</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96</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耦合</w:t>
            </w:r>
            <w:r>
              <w:rPr>
                <w:rFonts w:ascii="方正仿宋_GBK" w:eastAsia="方正仿宋_GBK" w:hAnsi="Times New Roman" w:cs="Calibri" w:hint="eastAsia"/>
                <w:sz w:val="24"/>
              </w:rPr>
              <w:t>UAV</w:t>
            </w:r>
            <w:r>
              <w:rPr>
                <w:rFonts w:ascii="方正仿宋_GBK" w:eastAsia="方正仿宋_GBK" w:hAnsi="Times New Roman" w:cs="Calibri" w:hint="eastAsia"/>
                <w:sz w:val="24"/>
              </w:rPr>
              <w:t>与地面</w:t>
            </w:r>
            <w:r>
              <w:rPr>
                <w:rFonts w:ascii="方正仿宋_GBK" w:eastAsia="方正仿宋_GBK" w:hAnsi="Times New Roman" w:cs="Calibri" w:hint="eastAsia"/>
                <w:sz w:val="24"/>
              </w:rPr>
              <w:t>WSN</w:t>
            </w:r>
            <w:r>
              <w:rPr>
                <w:rFonts w:ascii="方正仿宋_GBK" w:eastAsia="方正仿宋_GBK" w:hAnsi="Times New Roman" w:cs="Calibri" w:hint="eastAsia"/>
                <w:sz w:val="24"/>
              </w:rPr>
              <w:t>观测的山区地表温度全自动协同观测系统</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西南大学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于文凭</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97</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面向极端服役工况的大型高性能模具智能增材制造技术及装备</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重庆杰品科技股份有限公司</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张建生</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98</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长江上游智能韧性航道调控与关键生境修复技术研究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重庆交通大学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肖毅</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99</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水质碳氮磷电化学检测原创仪器研制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中国科学院重庆绿色智能技术研究院</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殷逢俊</w:t>
            </w:r>
          </w:p>
        </w:tc>
      </w:tr>
      <w:tr w:rsidR="00C8390B">
        <w:trPr>
          <w:jc w:val="center"/>
        </w:trPr>
        <w:tc>
          <w:tcPr>
            <w:tcW w:w="7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100</w:t>
            </w:r>
          </w:p>
        </w:tc>
        <w:tc>
          <w:tcPr>
            <w:tcW w:w="7461"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山区沥青路面材料劣化机制与韧性提升研究</w:t>
            </w:r>
          </w:p>
        </w:tc>
        <w:tc>
          <w:tcPr>
            <w:tcW w:w="4304"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重庆交通大学</w:t>
            </w:r>
          </w:p>
        </w:tc>
        <w:tc>
          <w:tcPr>
            <w:tcW w:w="1560" w:type="dxa"/>
            <w:vAlign w:val="center"/>
          </w:tcPr>
          <w:p w:rsidR="00C8390B" w:rsidRDefault="00D41C4D">
            <w:pPr>
              <w:spacing w:line="400" w:lineRule="exact"/>
              <w:jc w:val="center"/>
              <w:rPr>
                <w:rFonts w:ascii="方正仿宋_GBK" w:eastAsia="方正仿宋_GBK" w:hAnsi="Times New Roman" w:cs="Calibri"/>
                <w:sz w:val="24"/>
              </w:rPr>
            </w:pPr>
            <w:r>
              <w:rPr>
                <w:rFonts w:ascii="方正仿宋_GBK" w:eastAsia="方正仿宋_GBK" w:hAnsi="Times New Roman" w:cs="Calibri" w:hint="eastAsia"/>
                <w:sz w:val="24"/>
              </w:rPr>
              <w:t>高俊锋</w:t>
            </w:r>
          </w:p>
        </w:tc>
      </w:tr>
    </w:tbl>
    <w:p w:rsidR="00C8390B" w:rsidRDefault="00C8390B">
      <w:pPr>
        <w:wordWrap w:val="0"/>
        <w:rPr>
          <w:rFonts w:ascii="方正仿宋_GBK" w:eastAsia="方正仿宋_GBK"/>
          <w:sz w:val="32"/>
          <w:szCs w:val="32"/>
        </w:rPr>
      </w:pPr>
    </w:p>
    <w:sectPr w:rsidR="00C8390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C4D" w:rsidRDefault="00D41C4D" w:rsidP="00000E67">
      <w:r>
        <w:separator/>
      </w:r>
    </w:p>
  </w:endnote>
  <w:endnote w:type="continuationSeparator" w:id="0">
    <w:p w:rsidR="00D41C4D" w:rsidRDefault="00D41C4D" w:rsidP="0000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C4D" w:rsidRDefault="00D41C4D" w:rsidP="00000E67">
      <w:r>
        <w:separator/>
      </w:r>
    </w:p>
  </w:footnote>
  <w:footnote w:type="continuationSeparator" w:id="0">
    <w:p w:rsidR="00D41C4D" w:rsidRDefault="00D41C4D" w:rsidP="00000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56F5F"/>
    <w:rsid w:val="00000E67"/>
    <w:rsid w:val="00C8390B"/>
    <w:rsid w:val="00D41C4D"/>
    <w:rsid w:val="09D513FE"/>
    <w:rsid w:val="100644F9"/>
    <w:rsid w:val="1C166A8F"/>
    <w:rsid w:val="1D5133A9"/>
    <w:rsid w:val="27C13545"/>
    <w:rsid w:val="345E67C4"/>
    <w:rsid w:val="39656F5F"/>
    <w:rsid w:val="4870785B"/>
    <w:rsid w:val="4A27255A"/>
    <w:rsid w:val="5ED40E16"/>
    <w:rsid w:val="63D01B59"/>
    <w:rsid w:val="76B62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78E2B0-F044-46E7-BE96-BE5874E3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000E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00E67"/>
    <w:rPr>
      <w:rFonts w:asciiTheme="minorHAnsi" w:eastAsiaTheme="minorEastAsia" w:hAnsiTheme="minorHAnsi" w:cstheme="minorBidi"/>
      <w:kern w:val="2"/>
      <w:sz w:val="18"/>
      <w:szCs w:val="18"/>
    </w:rPr>
  </w:style>
  <w:style w:type="paragraph" w:styleId="a5">
    <w:name w:val="footer"/>
    <w:basedOn w:val="a"/>
    <w:link w:val="Char0"/>
    <w:rsid w:val="00000E67"/>
    <w:pPr>
      <w:tabs>
        <w:tab w:val="center" w:pos="4153"/>
        <w:tab w:val="right" w:pos="8306"/>
      </w:tabs>
      <w:snapToGrid w:val="0"/>
      <w:jc w:val="left"/>
    </w:pPr>
    <w:rPr>
      <w:sz w:val="18"/>
      <w:szCs w:val="18"/>
    </w:rPr>
  </w:style>
  <w:style w:type="character" w:customStyle="1" w:styleId="Char0">
    <w:name w:val="页脚 Char"/>
    <w:basedOn w:val="a0"/>
    <w:link w:val="a5"/>
    <w:rsid w:val="00000E6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595</Words>
  <Characters>3394</Characters>
  <Application>Microsoft Office Word</Application>
  <DocSecurity>0</DocSecurity>
  <Lines>28</Lines>
  <Paragraphs>7</Paragraphs>
  <ScaleCrop>false</ScaleCrop>
  <Company>Microsoft Corp.</Company>
  <LinksUpToDate>false</LinksUpToDate>
  <CharactersWithSpaces>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帐户</cp:lastModifiedBy>
  <cp:revision>2</cp:revision>
  <cp:lastPrinted>2025-10-29T08:25:00Z</cp:lastPrinted>
  <dcterms:created xsi:type="dcterms:W3CDTF">2024-12-12T06:31:00Z</dcterms:created>
  <dcterms:modified xsi:type="dcterms:W3CDTF">2025-10-30T02:17:00Z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69C517D3020A450BB8B711C2A3655A49_13</vt:lpwstr>
  </property>
</Properties>
</file>